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85F57" w14:textId="3953AF1F" w:rsidR="00CB4578" w:rsidRDefault="00CB4578" w:rsidP="000A180D">
      <w:pPr>
        <w:pStyle w:val="Heading2"/>
        <w:rPr>
          <w:rFonts w:ascii="Times New Roman" w:hAnsi="Times New Roman" w:cs="Times New Roman"/>
          <w:sz w:val="24"/>
          <w:szCs w:val="24"/>
          <w:lang w:val="en-US"/>
        </w:rPr>
      </w:pPr>
      <w:r>
        <w:rPr>
          <w:rFonts w:ascii="Times New Roman" w:hAnsi="Times New Roman" w:cs="Times New Roman"/>
          <w:sz w:val="24"/>
          <w:szCs w:val="24"/>
          <w:lang w:val="en-US"/>
        </w:rPr>
        <w:t xml:space="preserve">Results: </w:t>
      </w:r>
    </w:p>
    <w:p w14:paraId="5A720AD5" w14:textId="0D86DB3C" w:rsidR="00481228" w:rsidRDefault="00962A4D" w:rsidP="00481228">
      <w:pPr>
        <w:rPr>
          <w:rFonts w:ascii="Times New Roman" w:hAnsi="Times New Roman" w:cs="Times New Roman"/>
          <w:sz w:val="24"/>
          <w:szCs w:val="24"/>
          <w:lang w:val="en-US"/>
        </w:rPr>
      </w:pPr>
      <w:r w:rsidRPr="00036B7C">
        <w:rPr>
          <w:rFonts w:ascii="Times New Roman" w:hAnsi="Times New Roman" w:cs="Times New Roman"/>
          <w:sz w:val="24"/>
          <w:szCs w:val="24"/>
          <w:lang w:val="en-US"/>
        </w:rPr>
        <w:t xml:space="preserve">The observed comorbid symptoms </w:t>
      </w:r>
      <w:r w:rsidR="00DF371A" w:rsidRPr="00036B7C">
        <w:rPr>
          <w:rFonts w:ascii="Times New Roman" w:hAnsi="Times New Roman" w:cs="Times New Roman"/>
          <w:sz w:val="24"/>
          <w:szCs w:val="24"/>
          <w:lang w:val="en-US"/>
        </w:rPr>
        <w:t xml:space="preserve">paired with rate of polypharmacy (Number of </w:t>
      </w:r>
      <w:r w:rsidR="005B3A14" w:rsidRPr="00036B7C">
        <w:rPr>
          <w:rFonts w:ascii="Times New Roman" w:hAnsi="Times New Roman" w:cs="Times New Roman"/>
          <w:sz w:val="24"/>
          <w:szCs w:val="24"/>
          <w:lang w:val="en-US"/>
        </w:rPr>
        <w:t>medications</w:t>
      </w:r>
      <w:r w:rsidR="00F20AF2" w:rsidRPr="00036B7C">
        <w:rPr>
          <w:rFonts w:ascii="Times New Roman" w:hAnsi="Times New Roman" w:cs="Times New Roman"/>
          <w:sz w:val="24"/>
          <w:szCs w:val="24"/>
          <w:lang w:val="en-US"/>
        </w:rPr>
        <w:t xml:space="preserve"> taken per day) yield</w:t>
      </w:r>
      <w:r w:rsidR="00DA0427" w:rsidRPr="00036B7C">
        <w:rPr>
          <w:rFonts w:ascii="Times New Roman" w:hAnsi="Times New Roman" w:cs="Times New Roman"/>
          <w:sz w:val="24"/>
          <w:szCs w:val="24"/>
          <w:lang w:val="en-US"/>
        </w:rPr>
        <w:t xml:space="preserve"> measurements</w:t>
      </w:r>
      <w:r w:rsidR="005F1EA7" w:rsidRPr="00036B7C">
        <w:rPr>
          <w:rFonts w:ascii="Times New Roman" w:hAnsi="Times New Roman" w:cs="Times New Roman"/>
          <w:sz w:val="24"/>
          <w:szCs w:val="24"/>
          <w:lang w:val="en-US"/>
        </w:rPr>
        <w:t>, Charlson Comorbidity Index</w:t>
      </w:r>
      <w:sdt>
        <w:sdtPr>
          <w:rPr>
            <w:rFonts w:ascii="Times New Roman" w:hAnsi="Times New Roman" w:cs="Times New Roman"/>
            <w:sz w:val="24"/>
            <w:szCs w:val="24"/>
            <w:lang w:val="en-US"/>
          </w:rPr>
          <w:id w:val="-850026945"/>
          <w:citation/>
        </w:sdtPr>
        <w:sdtContent>
          <w:r w:rsidR="00342636" w:rsidRPr="00036B7C">
            <w:rPr>
              <w:rFonts w:ascii="Times New Roman" w:hAnsi="Times New Roman" w:cs="Times New Roman"/>
              <w:sz w:val="24"/>
              <w:szCs w:val="24"/>
              <w:lang w:val="en-US"/>
            </w:rPr>
            <w:fldChar w:fldCharType="begin"/>
          </w:r>
          <w:r w:rsidR="00342636" w:rsidRPr="00036B7C">
            <w:rPr>
              <w:rFonts w:ascii="Times New Roman" w:hAnsi="Times New Roman" w:cs="Times New Roman"/>
              <w:sz w:val="24"/>
              <w:szCs w:val="24"/>
              <w:lang w:val="en-US"/>
            </w:rPr>
            <w:instrText xml:space="preserve"> CITATION Cha94 \l 1033 </w:instrText>
          </w:r>
          <w:r w:rsidR="00342636" w:rsidRPr="00036B7C">
            <w:rPr>
              <w:rFonts w:ascii="Times New Roman" w:hAnsi="Times New Roman" w:cs="Times New Roman"/>
              <w:sz w:val="24"/>
              <w:szCs w:val="24"/>
              <w:lang w:val="en-US"/>
            </w:rPr>
            <w:fldChar w:fldCharType="separate"/>
          </w:r>
          <w:r w:rsidR="00342636" w:rsidRPr="00036B7C">
            <w:rPr>
              <w:rFonts w:ascii="Times New Roman" w:hAnsi="Times New Roman" w:cs="Times New Roman"/>
              <w:noProof/>
              <w:sz w:val="24"/>
              <w:szCs w:val="24"/>
              <w:lang w:val="en-US"/>
            </w:rPr>
            <w:t xml:space="preserve"> (Charlson , Szatrowsk, Peterson , &amp; Gold , 1994)</w:t>
          </w:r>
          <w:r w:rsidR="00342636" w:rsidRPr="00036B7C">
            <w:rPr>
              <w:rFonts w:ascii="Times New Roman" w:hAnsi="Times New Roman" w:cs="Times New Roman"/>
              <w:sz w:val="24"/>
              <w:szCs w:val="24"/>
              <w:lang w:val="en-US"/>
            </w:rPr>
            <w:fldChar w:fldCharType="end"/>
          </w:r>
        </w:sdtContent>
      </w:sdt>
      <w:r w:rsidR="005F1EA7" w:rsidRPr="00036B7C">
        <w:rPr>
          <w:rFonts w:ascii="Times New Roman" w:hAnsi="Times New Roman" w:cs="Times New Roman"/>
          <w:sz w:val="24"/>
          <w:szCs w:val="24"/>
          <w:lang w:val="en-US"/>
        </w:rPr>
        <w:t xml:space="preserve"> that incorporated patient’s age</w:t>
      </w:r>
      <w:r w:rsidR="007236AC" w:rsidRPr="00036B7C">
        <w:rPr>
          <w:rFonts w:ascii="Times New Roman" w:hAnsi="Times New Roman" w:cs="Times New Roman"/>
          <w:sz w:val="24"/>
          <w:szCs w:val="24"/>
          <w:lang w:val="en-US"/>
        </w:rPr>
        <w:t>.</w:t>
      </w:r>
      <w:r w:rsidR="00757E7B">
        <w:rPr>
          <w:rFonts w:ascii="Times New Roman" w:hAnsi="Times New Roman" w:cs="Times New Roman"/>
          <w:sz w:val="24"/>
          <w:szCs w:val="24"/>
          <w:lang w:val="en-US"/>
        </w:rPr>
        <w:t xml:space="preserve"> CCI</w:t>
      </w:r>
      <w:r w:rsidR="00E00FB0">
        <w:rPr>
          <w:rFonts w:ascii="Times New Roman" w:hAnsi="Times New Roman" w:cs="Times New Roman"/>
          <w:sz w:val="24"/>
          <w:szCs w:val="24"/>
          <w:lang w:val="en-US"/>
        </w:rPr>
        <w:t xml:space="preserve"> for sample and CCI distribution across </w:t>
      </w:r>
      <w:r w:rsidR="001E516F">
        <w:rPr>
          <w:rFonts w:ascii="Times New Roman" w:hAnsi="Times New Roman" w:cs="Times New Roman"/>
          <w:sz w:val="24"/>
          <w:szCs w:val="24"/>
          <w:lang w:val="en-US"/>
        </w:rPr>
        <w:t xml:space="preserve">various age groups is tabulated in Table2. </w:t>
      </w:r>
    </w:p>
    <w:p w14:paraId="09954AB1" w14:textId="3CB0CCA5" w:rsidR="001E516F" w:rsidRDefault="00D56040" w:rsidP="00481228">
      <w:pPr>
        <w:rPr>
          <w:rFonts w:ascii="Times New Roman" w:hAnsi="Times New Roman" w:cs="Times New Roman"/>
          <w:sz w:val="24"/>
          <w:szCs w:val="24"/>
          <w:lang w:val="en-US"/>
        </w:rPr>
      </w:pPr>
      <w:r>
        <w:rPr>
          <w:rFonts w:ascii="Times New Roman" w:hAnsi="Times New Roman" w:cs="Times New Roman"/>
          <w:sz w:val="24"/>
          <w:szCs w:val="24"/>
          <w:lang w:val="en-US"/>
        </w:rPr>
        <w:t xml:space="preserve">Symptom Burden is </w:t>
      </w:r>
      <w:r w:rsidR="0094573C">
        <w:rPr>
          <w:rFonts w:ascii="Times New Roman" w:hAnsi="Times New Roman" w:cs="Times New Roman"/>
          <w:sz w:val="24"/>
          <w:szCs w:val="24"/>
          <w:lang w:val="en-US"/>
        </w:rPr>
        <w:t>measured</w:t>
      </w:r>
      <w:r>
        <w:rPr>
          <w:rFonts w:ascii="Times New Roman" w:hAnsi="Times New Roman" w:cs="Times New Roman"/>
          <w:sz w:val="24"/>
          <w:szCs w:val="24"/>
          <w:lang w:val="en-US"/>
        </w:rPr>
        <w:t xml:space="preserve"> by </w:t>
      </w:r>
      <w:r w:rsidR="0094573C">
        <w:rPr>
          <w:rFonts w:ascii="Times New Roman" w:hAnsi="Times New Roman" w:cs="Times New Roman"/>
          <w:sz w:val="24"/>
          <w:szCs w:val="24"/>
          <w:lang w:val="en-US"/>
        </w:rPr>
        <w:t>comparing the symptoms prior to prescri</w:t>
      </w:r>
      <w:r w:rsidR="00C54FE9">
        <w:rPr>
          <w:rFonts w:ascii="Times New Roman" w:hAnsi="Times New Roman" w:cs="Times New Roman"/>
          <w:sz w:val="24"/>
          <w:szCs w:val="24"/>
          <w:lang w:val="en-US"/>
        </w:rPr>
        <w:t>bing</w:t>
      </w:r>
      <w:r w:rsidR="0094573C">
        <w:rPr>
          <w:rFonts w:ascii="Times New Roman" w:hAnsi="Times New Roman" w:cs="Times New Roman"/>
          <w:sz w:val="24"/>
          <w:szCs w:val="24"/>
          <w:lang w:val="en-US"/>
        </w:rPr>
        <w:t xml:space="preserve"> </w:t>
      </w:r>
      <w:r w:rsidR="00C54FE9">
        <w:rPr>
          <w:rFonts w:ascii="Times New Roman" w:hAnsi="Times New Roman" w:cs="Times New Roman"/>
          <w:sz w:val="24"/>
          <w:szCs w:val="24"/>
          <w:lang w:val="en-US"/>
        </w:rPr>
        <w:t xml:space="preserve">medication </w:t>
      </w:r>
      <w:r w:rsidR="0094573C">
        <w:rPr>
          <w:rFonts w:ascii="Times New Roman" w:hAnsi="Times New Roman" w:cs="Times New Roman"/>
          <w:sz w:val="24"/>
          <w:szCs w:val="24"/>
          <w:lang w:val="en-US"/>
        </w:rPr>
        <w:t>and</w:t>
      </w:r>
      <w:r w:rsidR="00C54FE9">
        <w:rPr>
          <w:rFonts w:ascii="Times New Roman" w:hAnsi="Times New Roman" w:cs="Times New Roman"/>
          <w:sz w:val="24"/>
          <w:szCs w:val="24"/>
          <w:lang w:val="en-US"/>
        </w:rPr>
        <w:t xml:space="preserve"> symptoms after using medication. Patients are categorized into </w:t>
      </w:r>
      <w:r w:rsidR="00B90840">
        <w:rPr>
          <w:rFonts w:ascii="Times New Roman" w:hAnsi="Times New Roman" w:cs="Times New Roman"/>
          <w:sz w:val="24"/>
          <w:szCs w:val="24"/>
          <w:lang w:val="en-US"/>
        </w:rPr>
        <w:t>higher symptom burden and lower symptom burden groups based on observed result</w:t>
      </w:r>
      <w:r w:rsidR="00B40997">
        <w:rPr>
          <w:rFonts w:ascii="Times New Roman" w:hAnsi="Times New Roman" w:cs="Times New Roman"/>
          <w:sz w:val="24"/>
          <w:szCs w:val="24"/>
          <w:lang w:val="en-US"/>
        </w:rPr>
        <w:t xml:space="preserve">s. </w:t>
      </w:r>
      <w:r w:rsidR="00BA6992">
        <w:rPr>
          <w:rFonts w:ascii="Times New Roman" w:hAnsi="Times New Roman" w:cs="Times New Roman"/>
          <w:sz w:val="24"/>
          <w:szCs w:val="24"/>
          <w:lang w:val="en-US"/>
        </w:rPr>
        <w:t xml:space="preserve">34.6 % of patients </w:t>
      </w:r>
      <w:r w:rsidR="00832494">
        <w:rPr>
          <w:rFonts w:ascii="Times New Roman" w:hAnsi="Times New Roman" w:cs="Times New Roman"/>
          <w:sz w:val="24"/>
          <w:szCs w:val="24"/>
          <w:lang w:val="en-US"/>
        </w:rPr>
        <w:t xml:space="preserve">have show lower symptom burden after polypharmacy. </w:t>
      </w:r>
    </w:p>
    <w:p w14:paraId="65A7B4F3" w14:textId="4608D01A" w:rsidR="00015EB9" w:rsidRDefault="00307C53" w:rsidP="00481228">
      <w:pPr>
        <w:rPr>
          <w:rFonts w:ascii="Times New Roman" w:hAnsi="Times New Roman" w:cs="Times New Roman"/>
          <w:sz w:val="24"/>
          <w:szCs w:val="24"/>
          <w:lang w:val="en-US"/>
        </w:rPr>
      </w:pPr>
      <w:r>
        <w:rPr>
          <w:rFonts w:ascii="Times New Roman" w:hAnsi="Times New Roman" w:cs="Times New Roman"/>
          <w:sz w:val="24"/>
          <w:szCs w:val="24"/>
          <w:lang w:val="en-US"/>
        </w:rPr>
        <w:t xml:space="preserve">Crude Odds Ratio (COR) </w:t>
      </w:r>
      <w:r w:rsidR="00C03BB1">
        <w:rPr>
          <w:rFonts w:ascii="Times New Roman" w:hAnsi="Times New Roman" w:cs="Times New Roman"/>
          <w:sz w:val="24"/>
          <w:szCs w:val="24"/>
          <w:lang w:val="en-US"/>
        </w:rPr>
        <w:t xml:space="preserve">calculated between rate of polypharmacy and the symptoms </w:t>
      </w:r>
      <w:r w:rsidR="00893534">
        <w:rPr>
          <w:rFonts w:ascii="Times New Roman" w:hAnsi="Times New Roman" w:cs="Times New Roman"/>
          <w:sz w:val="24"/>
          <w:szCs w:val="24"/>
          <w:lang w:val="en-US"/>
        </w:rPr>
        <w:t xml:space="preserve">burden as the outcome have yielded following results. </w:t>
      </w:r>
    </w:p>
    <w:p w14:paraId="5B2450B5" w14:textId="00DCE64B" w:rsidR="003A6595" w:rsidRDefault="003A6595" w:rsidP="003A6595">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CF61C6">
        <w:rPr>
          <w:rFonts w:ascii="Times New Roman" w:hAnsi="Times New Roman" w:cs="Times New Roman"/>
          <w:sz w:val="24"/>
          <w:szCs w:val="24"/>
          <w:lang w:val="en-US"/>
        </w:rPr>
        <w:t>likelihood of symptoms burden</w:t>
      </w:r>
      <w:r w:rsidR="00FD680C">
        <w:rPr>
          <w:rFonts w:ascii="Times New Roman" w:hAnsi="Times New Roman" w:cs="Times New Roman"/>
          <w:sz w:val="24"/>
          <w:szCs w:val="24"/>
          <w:lang w:val="en-US"/>
        </w:rPr>
        <w:t xml:space="preserve"> </w:t>
      </w:r>
      <w:r w:rsidR="003A16EE">
        <w:rPr>
          <w:rFonts w:ascii="Times New Roman" w:hAnsi="Times New Roman" w:cs="Times New Roman"/>
          <w:sz w:val="24"/>
          <w:szCs w:val="24"/>
          <w:lang w:val="en-US"/>
        </w:rPr>
        <w:t>being higher is 17.73 times more for rate of polypharmacy</w:t>
      </w:r>
      <w:r w:rsidR="00ED57FC">
        <w:rPr>
          <w:rFonts w:ascii="Times New Roman" w:hAnsi="Times New Roman" w:cs="Times New Roman"/>
          <w:sz w:val="24"/>
          <w:szCs w:val="24"/>
          <w:lang w:val="en-US"/>
        </w:rPr>
        <w:t xml:space="preserve"> greater than 7 </w:t>
      </w:r>
      <w:r w:rsidR="00590E8B">
        <w:rPr>
          <w:rFonts w:ascii="Times New Roman" w:hAnsi="Times New Roman" w:cs="Times New Roman"/>
          <w:sz w:val="24"/>
          <w:szCs w:val="24"/>
          <w:lang w:val="en-US"/>
        </w:rPr>
        <w:t xml:space="preserve">compared to </w:t>
      </w:r>
      <w:r w:rsidR="008D6A22">
        <w:rPr>
          <w:rFonts w:ascii="Times New Roman" w:hAnsi="Times New Roman" w:cs="Times New Roman"/>
          <w:sz w:val="24"/>
          <w:szCs w:val="24"/>
          <w:lang w:val="en-US"/>
        </w:rPr>
        <w:t xml:space="preserve">patients with lower </w:t>
      </w:r>
      <w:r w:rsidR="00E8382D">
        <w:rPr>
          <w:rFonts w:ascii="Times New Roman" w:hAnsi="Times New Roman" w:cs="Times New Roman"/>
          <w:sz w:val="24"/>
          <w:szCs w:val="24"/>
          <w:lang w:val="en-US"/>
        </w:rPr>
        <w:t xml:space="preserve">rate of polypharmacy </w:t>
      </w:r>
      <w:r w:rsidR="00ED57FC">
        <w:rPr>
          <w:rFonts w:ascii="Times New Roman" w:hAnsi="Times New Roman" w:cs="Times New Roman"/>
          <w:sz w:val="24"/>
          <w:szCs w:val="24"/>
          <w:lang w:val="en-US"/>
        </w:rPr>
        <w:t>in the confidence interval of 95</w:t>
      </w:r>
      <w:r w:rsidR="00A013F9">
        <w:rPr>
          <w:rFonts w:ascii="Times New Roman" w:hAnsi="Times New Roman" w:cs="Times New Roman"/>
          <w:sz w:val="24"/>
          <w:szCs w:val="24"/>
          <w:lang w:val="en-US"/>
        </w:rPr>
        <w:t>% The</w:t>
      </w:r>
      <w:r w:rsidR="00523BAE">
        <w:rPr>
          <w:rFonts w:ascii="Times New Roman" w:hAnsi="Times New Roman" w:cs="Times New Roman"/>
          <w:sz w:val="24"/>
          <w:szCs w:val="24"/>
          <w:lang w:val="en-US"/>
        </w:rPr>
        <w:t xml:space="preserve"> risk </w:t>
      </w:r>
      <w:r w:rsidR="00A013F9">
        <w:rPr>
          <w:rFonts w:ascii="Times New Roman" w:hAnsi="Times New Roman" w:cs="Times New Roman"/>
          <w:sz w:val="24"/>
          <w:szCs w:val="24"/>
          <w:lang w:val="en-US"/>
        </w:rPr>
        <w:t xml:space="preserve">ratio is 10.62 times higher with in the same confidence interval. </w:t>
      </w:r>
    </w:p>
    <w:p w14:paraId="239A2F8B" w14:textId="034CDBA4" w:rsidR="00523BAE" w:rsidRDefault="00523BAE" w:rsidP="003A6595">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1A56B1">
        <w:rPr>
          <w:rFonts w:ascii="Times New Roman" w:hAnsi="Times New Roman" w:cs="Times New Roman"/>
          <w:sz w:val="24"/>
          <w:szCs w:val="24"/>
          <w:lang w:val="en-US"/>
        </w:rPr>
        <w:t xml:space="preserve">comparison between ROP group </w:t>
      </w:r>
      <w:r w:rsidR="004A575F">
        <w:rPr>
          <w:rFonts w:ascii="Times New Roman" w:hAnsi="Times New Roman" w:cs="Times New Roman"/>
          <w:sz w:val="24"/>
          <w:szCs w:val="24"/>
          <w:lang w:val="en-US"/>
        </w:rPr>
        <w:t xml:space="preserve">i.e. patients taking 5 to 7 medication per </w:t>
      </w:r>
      <w:r w:rsidR="00590E8B">
        <w:rPr>
          <w:rFonts w:ascii="Times New Roman" w:hAnsi="Times New Roman" w:cs="Times New Roman"/>
          <w:sz w:val="24"/>
          <w:szCs w:val="24"/>
          <w:lang w:val="en-US"/>
        </w:rPr>
        <w:t xml:space="preserve">day and </w:t>
      </w:r>
      <w:r w:rsidR="00E8382D">
        <w:rPr>
          <w:rFonts w:ascii="Times New Roman" w:hAnsi="Times New Roman" w:cs="Times New Roman"/>
          <w:sz w:val="24"/>
          <w:szCs w:val="24"/>
          <w:lang w:val="en-US"/>
        </w:rPr>
        <w:t xml:space="preserve">less than 5 </w:t>
      </w:r>
      <w:r w:rsidR="001E686E">
        <w:rPr>
          <w:rFonts w:ascii="Times New Roman" w:hAnsi="Times New Roman" w:cs="Times New Roman"/>
          <w:sz w:val="24"/>
          <w:szCs w:val="24"/>
          <w:lang w:val="en-US"/>
        </w:rPr>
        <w:t xml:space="preserve">shows that risk of having </w:t>
      </w:r>
      <w:r w:rsidR="00E07FBF">
        <w:rPr>
          <w:rFonts w:ascii="Times New Roman" w:hAnsi="Times New Roman" w:cs="Times New Roman"/>
          <w:sz w:val="24"/>
          <w:szCs w:val="24"/>
          <w:lang w:val="en-US"/>
        </w:rPr>
        <w:t xml:space="preserve">higher symptoms burden is 6.25 times more for patients who take more than </w:t>
      </w:r>
      <w:r w:rsidR="007800E3">
        <w:rPr>
          <w:rFonts w:ascii="Times New Roman" w:hAnsi="Times New Roman" w:cs="Times New Roman"/>
          <w:sz w:val="24"/>
          <w:szCs w:val="24"/>
          <w:lang w:val="en-US"/>
        </w:rPr>
        <w:t xml:space="preserve">5 drugs a day within the confidence interval of </w:t>
      </w:r>
      <w:r w:rsidR="00407D51">
        <w:rPr>
          <w:rFonts w:ascii="Times New Roman" w:hAnsi="Times New Roman" w:cs="Times New Roman"/>
          <w:sz w:val="24"/>
          <w:szCs w:val="24"/>
          <w:lang w:val="en-US"/>
        </w:rPr>
        <w:t xml:space="preserve">95% </w:t>
      </w:r>
    </w:p>
    <w:p w14:paraId="3692E351" w14:textId="646D6870" w:rsidR="00407D51" w:rsidRDefault="00C43C26" w:rsidP="00463368">
      <w:pPr>
        <w:rPr>
          <w:rFonts w:ascii="Times New Roman" w:hAnsi="Times New Roman" w:cs="Times New Roman"/>
          <w:sz w:val="24"/>
          <w:szCs w:val="24"/>
          <w:lang w:val="en-US"/>
        </w:rPr>
      </w:pPr>
      <w:r>
        <w:rPr>
          <w:rFonts w:ascii="Times New Roman" w:hAnsi="Times New Roman" w:cs="Times New Roman"/>
          <w:sz w:val="24"/>
          <w:szCs w:val="24"/>
          <w:lang w:val="en-US"/>
        </w:rPr>
        <w:t>Comorbidity Polypharmacy Score (CPS)</w:t>
      </w:r>
      <w:r w:rsidR="008044D6">
        <w:rPr>
          <w:rFonts w:ascii="Times New Roman" w:hAnsi="Times New Roman" w:cs="Times New Roman"/>
          <w:sz w:val="24"/>
          <w:szCs w:val="24"/>
          <w:lang w:val="en-US"/>
        </w:rPr>
        <w:t>, an in</w:t>
      </w:r>
      <w:r w:rsidR="00CE34F4">
        <w:rPr>
          <w:rFonts w:ascii="Times New Roman" w:hAnsi="Times New Roman" w:cs="Times New Roman"/>
          <w:sz w:val="24"/>
          <w:szCs w:val="24"/>
          <w:lang w:val="en-US"/>
        </w:rPr>
        <w:t xml:space="preserve">dicator derived from observed comorbid symptoms and rate of polypharmacy shows </w:t>
      </w:r>
      <w:r w:rsidR="007F7B88">
        <w:rPr>
          <w:rFonts w:ascii="Times New Roman" w:hAnsi="Times New Roman" w:cs="Times New Roman"/>
          <w:sz w:val="24"/>
          <w:szCs w:val="24"/>
          <w:lang w:val="en-US"/>
        </w:rPr>
        <w:t xml:space="preserve">that the distribution of patients </w:t>
      </w:r>
      <w:r w:rsidR="000A7C9F">
        <w:rPr>
          <w:rFonts w:ascii="Times New Roman" w:hAnsi="Times New Roman" w:cs="Times New Roman"/>
          <w:sz w:val="24"/>
          <w:szCs w:val="24"/>
          <w:lang w:val="en-US"/>
        </w:rPr>
        <w:t xml:space="preserve">who reported an improvement in quality of life </w:t>
      </w:r>
      <w:r w:rsidR="0073344C">
        <w:rPr>
          <w:rFonts w:ascii="Times New Roman" w:hAnsi="Times New Roman" w:cs="Times New Roman"/>
          <w:sz w:val="24"/>
          <w:szCs w:val="24"/>
          <w:lang w:val="en-US"/>
        </w:rPr>
        <w:t>is statistically different from distribution of patients who</w:t>
      </w:r>
      <w:r w:rsidR="00670481">
        <w:rPr>
          <w:rFonts w:ascii="Times New Roman" w:hAnsi="Times New Roman" w:cs="Times New Roman"/>
          <w:sz w:val="24"/>
          <w:szCs w:val="24"/>
          <w:lang w:val="en-US"/>
        </w:rPr>
        <w:t xml:space="preserve"> did not. These results are based on </w:t>
      </w:r>
      <w:r w:rsidR="00957CB9" w:rsidRPr="00957CB9">
        <w:rPr>
          <w:rFonts w:ascii="Times New Roman" w:hAnsi="Times New Roman" w:cs="Times New Roman"/>
          <w:sz w:val="24"/>
          <w:szCs w:val="24"/>
          <w:lang w:val="en-US"/>
        </w:rPr>
        <w:t>The Wilcoxon Rank-Sum Test</w:t>
      </w:r>
      <w:r w:rsidR="00957CB9">
        <w:rPr>
          <w:rFonts w:ascii="Times New Roman" w:hAnsi="Times New Roman" w:cs="Times New Roman"/>
          <w:sz w:val="24"/>
          <w:szCs w:val="24"/>
          <w:lang w:val="en-US"/>
        </w:rPr>
        <w:t xml:space="preserve"> with p-value 0.</w:t>
      </w:r>
      <w:r w:rsidR="00431D4F">
        <w:rPr>
          <w:rFonts w:ascii="Times New Roman" w:hAnsi="Times New Roman" w:cs="Times New Roman"/>
          <w:sz w:val="24"/>
          <w:szCs w:val="24"/>
          <w:lang w:val="en-US"/>
        </w:rPr>
        <w:t>7 and statistic -0.38</w:t>
      </w:r>
      <w:r w:rsidR="000C6756">
        <w:rPr>
          <w:rFonts w:ascii="Times New Roman" w:hAnsi="Times New Roman" w:cs="Times New Roman"/>
          <w:sz w:val="24"/>
          <w:szCs w:val="24"/>
          <w:lang w:val="en-US"/>
        </w:rPr>
        <w:t xml:space="preserve">. The patients </w:t>
      </w:r>
      <w:r w:rsidR="0060214C">
        <w:rPr>
          <w:rFonts w:ascii="Times New Roman" w:hAnsi="Times New Roman" w:cs="Times New Roman"/>
          <w:sz w:val="24"/>
          <w:szCs w:val="24"/>
          <w:lang w:val="en-US"/>
        </w:rPr>
        <w:t xml:space="preserve">with “Good” quality of life score </w:t>
      </w:r>
      <w:r w:rsidR="00B6692B">
        <w:rPr>
          <w:rFonts w:ascii="Times New Roman" w:hAnsi="Times New Roman" w:cs="Times New Roman"/>
          <w:sz w:val="24"/>
          <w:szCs w:val="24"/>
          <w:lang w:val="en-US"/>
        </w:rPr>
        <w:t xml:space="preserve">had lower CPS scores. </w:t>
      </w:r>
    </w:p>
    <w:p w14:paraId="544C86B3" w14:textId="1B55F56D" w:rsidR="00B6692B" w:rsidRDefault="003F2A2F" w:rsidP="00463368">
      <w:pPr>
        <w:rPr>
          <w:rFonts w:ascii="Times New Roman" w:hAnsi="Times New Roman" w:cs="Times New Roman"/>
          <w:sz w:val="24"/>
          <w:szCs w:val="24"/>
          <w:lang w:val="en-US"/>
        </w:rPr>
      </w:pPr>
      <w:r>
        <w:rPr>
          <w:rFonts w:ascii="Times New Roman" w:hAnsi="Times New Roman" w:cs="Times New Roman"/>
          <w:sz w:val="24"/>
          <w:szCs w:val="24"/>
          <w:lang w:val="en-US"/>
        </w:rPr>
        <w:t xml:space="preserve">Analysis of Variance (ANOVA) </w:t>
      </w:r>
      <w:r w:rsidR="008003F7">
        <w:rPr>
          <w:rFonts w:ascii="Times New Roman" w:hAnsi="Times New Roman" w:cs="Times New Roman"/>
          <w:sz w:val="24"/>
          <w:szCs w:val="24"/>
          <w:lang w:val="en-US"/>
        </w:rPr>
        <w:t xml:space="preserve">of rate of polypharmacy </w:t>
      </w:r>
      <w:r w:rsidR="00C27E74">
        <w:rPr>
          <w:rFonts w:ascii="Times New Roman" w:hAnsi="Times New Roman" w:cs="Times New Roman"/>
          <w:sz w:val="24"/>
          <w:szCs w:val="24"/>
          <w:lang w:val="en-US"/>
        </w:rPr>
        <w:t xml:space="preserve">(ROP) </w:t>
      </w:r>
      <w:r w:rsidR="00A02382">
        <w:rPr>
          <w:rFonts w:ascii="Times New Roman" w:hAnsi="Times New Roman" w:cs="Times New Roman"/>
          <w:sz w:val="24"/>
          <w:szCs w:val="24"/>
          <w:lang w:val="en-US"/>
        </w:rPr>
        <w:t xml:space="preserve">shows that </w:t>
      </w:r>
      <w:r w:rsidR="00DC78F0">
        <w:rPr>
          <w:rFonts w:ascii="Times New Roman" w:hAnsi="Times New Roman" w:cs="Times New Roman"/>
          <w:sz w:val="24"/>
          <w:szCs w:val="24"/>
          <w:lang w:val="en-US"/>
        </w:rPr>
        <w:t xml:space="preserve">there are significant </w:t>
      </w:r>
      <w:r w:rsidR="00B124E9">
        <w:rPr>
          <w:rFonts w:ascii="Times New Roman" w:hAnsi="Times New Roman" w:cs="Times New Roman"/>
          <w:sz w:val="24"/>
          <w:szCs w:val="24"/>
          <w:lang w:val="en-US"/>
        </w:rPr>
        <w:t xml:space="preserve">differences among </w:t>
      </w:r>
      <w:r w:rsidR="00A02382">
        <w:rPr>
          <w:rFonts w:ascii="Times New Roman" w:hAnsi="Times New Roman" w:cs="Times New Roman"/>
          <w:sz w:val="24"/>
          <w:szCs w:val="24"/>
          <w:lang w:val="en-US"/>
        </w:rPr>
        <w:t>ROP</w:t>
      </w:r>
      <w:r w:rsidR="00B124E9">
        <w:rPr>
          <w:rFonts w:ascii="Times New Roman" w:hAnsi="Times New Roman" w:cs="Times New Roman"/>
          <w:sz w:val="24"/>
          <w:szCs w:val="24"/>
          <w:lang w:val="en-US"/>
        </w:rPr>
        <w:t xml:space="preserve"> in female patients with p values observed to be </w:t>
      </w:r>
      <w:r w:rsidR="00A02DE3">
        <w:rPr>
          <w:rFonts w:ascii="Times New Roman" w:hAnsi="Times New Roman" w:cs="Times New Roman"/>
          <w:sz w:val="24"/>
          <w:szCs w:val="24"/>
          <w:lang w:val="en-US"/>
        </w:rPr>
        <w:t>0.</w:t>
      </w:r>
      <w:r w:rsidR="00397245">
        <w:rPr>
          <w:rFonts w:ascii="Times New Roman" w:hAnsi="Times New Roman" w:cs="Times New Roman"/>
          <w:sz w:val="24"/>
          <w:szCs w:val="24"/>
          <w:lang w:val="en-US"/>
        </w:rPr>
        <w:t>0</w:t>
      </w:r>
      <w:r w:rsidR="00E57DA4">
        <w:rPr>
          <w:rFonts w:ascii="Times New Roman" w:hAnsi="Times New Roman" w:cs="Times New Roman"/>
          <w:sz w:val="24"/>
          <w:szCs w:val="24"/>
          <w:lang w:val="en-US"/>
        </w:rPr>
        <w:t>1</w:t>
      </w:r>
      <w:r w:rsidR="00397245">
        <w:rPr>
          <w:rFonts w:ascii="Times New Roman" w:hAnsi="Times New Roman" w:cs="Times New Roman"/>
          <w:sz w:val="24"/>
          <w:szCs w:val="24"/>
          <w:lang w:val="en-US"/>
        </w:rPr>
        <w:t>5 whereas ROP in male patients is of no</w:t>
      </w:r>
      <w:r w:rsidR="00A02382">
        <w:rPr>
          <w:rFonts w:ascii="Times New Roman" w:hAnsi="Times New Roman" w:cs="Times New Roman"/>
          <w:sz w:val="24"/>
          <w:szCs w:val="24"/>
          <w:lang w:val="en-US"/>
        </w:rPr>
        <w:t xml:space="preserve"> significant</w:t>
      </w:r>
      <w:r w:rsidR="00397245">
        <w:rPr>
          <w:rFonts w:ascii="Times New Roman" w:hAnsi="Times New Roman" w:cs="Times New Roman"/>
          <w:sz w:val="24"/>
          <w:szCs w:val="24"/>
          <w:lang w:val="en-US"/>
        </w:rPr>
        <w:t xml:space="preserve"> </w:t>
      </w:r>
      <w:r w:rsidR="00A02382">
        <w:rPr>
          <w:rFonts w:ascii="Times New Roman" w:hAnsi="Times New Roman" w:cs="Times New Roman"/>
          <w:sz w:val="24"/>
          <w:szCs w:val="24"/>
          <w:lang w:val="en-US"/>
        </w:rPr>
        <w:t>differen</w:t>
      </w:r>
      <w:r w:rsidR="00397245">
        <w:rPr>
          <w:rFonts w:ascii="Times New Roman" w:hAnsi="Times New Roman" w:cs="Times New Roman"/>
          <w:sz w:val="24"/>
          <w:szCs w:val="24"/>
          <w:lang w:val="en-US"/>
        </w:rPr>
        <w:t>ce, p-value 0.12. (Note: P-value greater than 0.05 is indicator for rejecting null hypothesis).</w:t>
      </w:r>
    </w:p>
    <w:p w14:paraId="4BB529D8" w14:textId="784674CF" w:rsidR="00397245" w:rsidRPr="00407D51" w:rsidRDefault="00397245" w:rsidP="00463368">
      <w:pPr>
        <w:rPr>
          <w:rFonts w:ascii="Times New Roman" w:hAnsi="Times New Roman" w:cs="Times New Roman"/>
          <w:sz w:val="24"/>
          <w:szCs w:val="24"/>
          <w:lang w:val="en-US"/>
        </w:rPr>
      </w:pPr>
      <w:r>
        <w:rPr>
          <w:rFonts w:ascii="Times New Roman" w:hAnsi="Times New Roman" w:cs="Times New Roman"/>
          <w:sz w:val="24"/>
          <w:szCs w:val="24"/>
          <w:lang w:val="en-US"/>
        </w:rPr>
        <w:t xml:space="preserve">A likelihood of survival for next ten years is calculated based on CCI and the results are tabulated in Table2. </w:t>
      </w:r>
    </w:p>
    <w:p w14:paraId="0DCF63E5" w14:textId="4E79F2AF" w:rsidR="00CB4578" w:rsidRPr="00CB4578" w:rsidRDefault="00397245" w:rsidP="00CB4578">
      <w:pPr>
        <w:rPr>
          <w:lang w:val="en-US"/>
        </w:rPr>
      </w:pPr>
      <w:r>
        <w:rPr>
          <w:lang w:val="en-US"/>
        </w:rPr>
        <w:t xml:space="preserve"> </w:t>
      </w:r>
    </w:p>
    <w:p w14:paraId="50DBFE85" w14:textId="54995F5B" w:rsidR="000A180D" w:rsidRPr="00FC2165" w:rsidRDefault="006A380D" w:rsidP="00FC2165">
      <w:pPr>
        <w:pStyle w:val="Heading2"/>
        <w:rPr>
          <w:rFonts w:ascii="Times New Roman" w:hAnsi="Times New Roman" w:cs="Times New Roman"/>
          <w:sz w:val="24"/>
          <w:szCs w:val="24"/>
          <w:lang w:val="en-US"/>
        </w:rPr>
      </w:pPr>
      <w:r w:rsidRPr="000A180D">
        <w:rPr>
          <w:rFonts w:ascii="Times New Roman" w:hAnsi="Times New Roman" w:cs="Times New Roman"/>
          <w:sz w:val="24"/>
          <w:szCs w:val="24"/>
          <w:lang w:val="en-US"/>
        </w:rPr>
        <w:t>Table 1: Demo</w:t>
      </w:r>
      <w:r w:rsidR="00991613" w:rsidRPr="000A180D">
        <w:rPr>
          <w:rFonts w:ascii="Times New Roman" w:hAnsi="Times New Roman" w:cs="Times New Roman"/>
          <w:sz w:val="24"/>
          <w:szCs w:val="24"/>
          <w:lang w:val="en-US"/>
        </w:rPr>
        <w:t>graphics</w:t>
      </w:r>
    </w:p>
    <w:tbl>
      <w:tblPr>
        <w:tblStyle w:val="TableGrid"/>
        <w:tblW w:w="0" w:type="auto"/>
        <w:tblLook w:val="04A0" w:firstRow="1" w:lastRow="0" w:firstColumn="1" w:lastColumn="0" w:noHBand="0" w:noVBand="1"/>
      </w:tblPr>
      <w:tblGrid>
        <w:gridCol w:w="5812"/>
        <w:gridCol w:w="3204"/>
      </w:tblGrid>
      <w:tr w:rsidR="000A180D" w:rsidRPr="00901F54" w14:paraId="2C219823" w14:textId="77777777" w:rsidTr="00E96E0B">
        <w:trPr>
          <w:trHeight w:val="423"/>
        </w:trPr>
        <w:tc>
          <w:tcPr>
            <w:tcW w:w="5812" w:type="dxa"/>
            <w:tcBorders>
              <w:left w:val="nil"/>
              <w:bottom w:val="single" w:sz="4" w:space="0" w:color="auto"/>
              <w:right w:val="nil"/>
            </w:tcBorders>
          </w:tcPr>
          <w:p w14:paraId="57A920A8" w14:textId="77777777" w:rsidR="000A180D" w:rsidRPr="00901F54" w:rsidRDefault="000A180D" w:rsidP="00E96E0B">
            <w:pPr>
              <w:rPr>
                <w:rFonts w:ascii="Times New Roman" w:hAnsi="Times New Roman" w:cs="Times New Roman"/>
                <w:b/>
                <w:bCs/>
                <w:sz w:val="24"/>
                <w:szCs w:val="24"/>
                <w:lang w:val="en-US"/>
              </w:rPr>
            </w:pPr>
            <w:r w:rsidRPr="00901F54">
              <w:rPr>
                <w:rFonts w:ascii="Times New Roman" w:hAnsi="Times New Roman" w:cs="Times New Roman"/>
                <w:b/>
                <w:bCs/>
                <w:sz w:val="24"/>
                <w:szCs w:val="24"/>
                <w:lang w:val="en-US"/>
              </w:rPr>
              <w:t>Demographics</w:t>
            </w:r>
          </w:p>
        </w:tc>
        <w:tc>
          <w:tcPr>
            <w:tcW w:w="3204" w:type="dxa"/>
            <w:tcBorders>
              <w:left w:val="nil"/>
              <w:bottom w:val="single" w:sz="4" w:space="0" w:color="auto"/>
              <w:right w:val="nil"/>
            </w:tcBorders>
          </w:tcPr>
          <w:p w14:paraId="0E569F15" w14:textId="77777777" w:rsidR="000A180D" w:rsidRPr="00901F54" w:rsidRDefault="000A180D" w:rsidP="00E96E0B">
            <w:pPr>
              <w:rPr>
                <w:rFonts w:ascii="Times New Roman" w:hAnsi="Times New Roman" w:cs="Times New Roman"/>
                <w:b/>
                <w:bCs/>
                <w:sz w:val="24"/>
                <w:szCs w:val="24"/>
                <w:lang w:val="en-US"/>
              </w:rPr>
            </w:pPr>
            <w:r w:rsidRPr="00901F54">
              <w:rPr>
                <w:rFonts w:ascii="Times New Roman" w:hAnsi="Times New Roman" w:cs="Times New Roman"/>
                <w:b/>
                <w:bCs/>
                <w:sz w:val="24"/>
                <w:szCs w:val="24"/>
                <w:lang w:val="en-US"/>
              </w:rPr>
              <w:t>Statistics</w:t>
            </w:r>
          </w:p>
        </w:tc>
      </w:tr>
      <w:tr w:rsidR="000A180D" w:rsidRPr="00901F54" w14:paraId="343EC562" w14:textId="77777777" w:rsidTr="00E96E0B">
        <w:trPr>
          <w:trHeight w:val="132"/>
        </w:trPr>
        <w:tc>
          <w:tcPr>
            <w:tcW w:w="5812" w:type="dxa"/>
            <w:tcBorders>
              <w:top w:val="single" w:sz="4" w:space="0" w:color="auto"/>
              <w:left w:val="nil"/>
              <w:bottom w:val="nil"/>
              <w:right w:val="nil"/>
            </w:tcBorders>
          </w:tcPr>
          <w:p w14:paraId="1FD63056" w14:textId="77777777" w:rsidR="000A180D" w:rsidRPr="00901F54" w:rsidRDefault="000A180D" w:rsidP="00E96E0B">
            <w:pPr>
              <w:rPr>
                <w:rFonts w:ascii="Times New Roman" w:hAnsi="Times New Roman" w:cs="Times New Roman"/>
                <w:sz w:val="24"/>
                <w:szCs w:val="24"/>
                <w:lang w:val="en-US"/>
              </w:rPr>
            </w:pPr>
          </w:p>
        </w:tc>
        <w:tc>
          <w:tcPr>
            <w:tcW w:w="3204" w:type="dxa"/>
            <w:tcBorders>
              <w:top w:val="single" w:sz="4" w:space="0" w:color="auto"/>
              <w:left w:val="nil"/>
              <w:bottom w:val="nil"/>
              <w:right w:val="nil"/>
            </w:tcBorders>
          </w:tcPr>
          <w:p w14:paraId="770920DD" w14:textId="77777777" w:rsidR="000A180D" w:rsidRPr="00901F54" w:rsidRDefault="000A180D" w:rsidP="00E96E0B">
            <w:pPr>
              <w:rPr>
                <w:rFonts w:ascii="Times New Roman" w:hAnsi="Times New Roman" w:cs="Times New Roman"/>
                <w:sz w:val="24"/>
                <w:szCs w:val="24"/>
                <w:lang w:val="en-US"/>
              </w:rPr>
            </w:pPr>
          </w:p>
        </w:tc>
      </w:tr>
      <w:tr w:rsidR="000A180D" w:rsidRPr="00901F54" w14:paraId="5AF2D896" w14:textId="77777777" w:rsidTr="00E96E0B">
        <w:trPr>
          <w:trHeight w:val="423"/>
        </w:trPr>
        <w:tc>
          <w:tcPr>
            <w:tcW w:w="5812" w:type="dxa"/>
            <w:tcBorders>
              <w:top w:val="nil"/>
              <w:left w:val="nil"/>
              <w:bottom w:val="nil"/>
              <w:right w:val="nil"/>
            </w:tcBorders>
          </w:tcPr>
          <w:p w14:paraId="67270742" w14:textId="77777777" w:rsidR="000A180D" w:rsidRPr="00901F54" w:rsidRDefault="000A180D" w:rsidP="00E96E0B">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Gender (male), n (%) </w:t>
            </w:r>
          </w:p>
        </w:tc>
        <w:tc>
          <w:tcPr>
            <w:tcW w:w="3204" w:type="dxa"/>
            <w:tcBorders>
              <w:top w:val="nil"/>
              <w:left w:val="nil"/>
              <w:bottom w:val="nil"/>
              <w:right w:val="nil"/>
            </w:tcBorders>
          </w:tcPr>
          <w:p w14:paraId="5F4E53D4" w14:textId="77777777" w:rsidR="000A180D" w:rsidRPr="00901F54" w:rsidRDefault="000A180D" w:rsidP="00E96E0B">
            <w:pPr>
              <w:rPr>
                <w:rFonts w:ascii="Times New Roman" w:hAnsi="Times New Roman" w:cs="Times New Roman"/>
                <w:sz w:val="24"/>
                <w:szCs w:val="24"/>
                <w:lang w:val="en-US"/>
              </w:rPr>
            </w:pPr>
            <w:r w:rsidRPr="00901F54">
              <w:rPr>
                <w:rFonts w:ascii="Times New Roman" w:hAnsi="Times New Roman" w:cs="Times New Roman"/>
                <w:sz w:val="24"/>
                <w:szCs w:val="24"/>
                <w:lang w:val="en-US"/>
              </w:rPr>
              <w:t>169(53.65%)</w:t>
            </w:r>
          </w:p>
        </w:tc>
      </w:tr>
      <w:tr w:rsidR="000A180D" w:rsidRPr="00901F54" w14:paraId="57858391" w14:textId="77777777" w:rsidTr="00E96E0B">
        <w:trPr>
          <w:trHeight w:val="423"/>
        </w:trPr>
        <w:tc>
          <w:tcPr>
            <w:tcW w:w="5812" w:type="dxa"/>
            <w:tcBorders>
              <w:top w:val="nil"/>
              <w:left w:val="nil"/>
              <w:bottom w:val="nil"/>
              <w:right w:val="nil"/>
            </w:tcBorders>
          </w:tcPr>
          <w:p w14:paraId="316BD3E6" w14:textId="77777777" w:rsidR="000A180D" w:rsidRPr="00901F54" w:rsidRDefault="000A180D" w:rsidP="00E96E0B">
            <w:pPr>
              <w:rPr>
                <w:rFonts w:ascii="Times New Roman" w:hAnsi="Times New Roman" w:cs="Times New Roman"/>
                <w:sz w:val="24"/>
                <w:szCs w:val="24"/>
                <w:lang w:val="en-US"/>
              </w:rPr>
            </w:pPr>
            <w:r w:rsidRPr="00901F54">
              <w:rPr>
                <w:rFonts w:ascii="Times New Roman" w:hAnsi="Times New Roman" w:cs="Times New Roman"/>
                <w:sz w:val="24"/>
                <w:szCs w:val="24"/>
                <w:lang w:val="en-US"/>
              </w:rPr>
              <w:t>Age (years) mean (SD)</w:t>
            </w:r>
          </w:p>
        </w:tc>
        <w:tc>
          <w:tcPr>
            <w:tcW w:w="3204" w:type="dxa"/>
            <w:tcBorders>
              <w:top w:val="nil"/>
              <w:left w:val="nil"/>
              <w:bottom w:val="nil"/>
              <w:right w:val="nil"/>
            </w:tcBorders>
          </w:tcPr>
          <w:p w14:paraId="10ACFD7E" w14:textId="77777777" w:rsidR="000A180D" w:rsidRPr="00901F54" w:rsidRDefault="000A180D" w:rsidP="00E96E0B">
            <w:pPr>
              <w:rPr>
                <w:rFonts w:ascii="Times New Roman" w:hAnsi="Times New Roman" w:cs="Times New Roman"/>
                <w:sz w:val="24"/>
                <w:szCs w:val="24"/>
                <w:lang w:val="en-US"/>
              </w:rPr>
            </w:pPr>
            <w:r w:rsidRPr="00901F54">
              <w:rPr>
                <w:rFonts w:ascii="Times New Roman" w:hAnsi="Times New Roman" w:cs="Times New Roman"/>
                <w:sz w:val="24"/>
                <w:szCs w:val="24"/>
                <w:lang w:val="en-US"/>
              </w:rPr>
              <w:t>69.31 (4.14)</w:t>
            </w:r>
          </w:p>
        </w:tc>
      </w:tr>
      <w:tr w:rsidR="000A180D" w:rsidRPr="00901F54" w14:paraId="6B323E32" w14:textId="77777777" w:rsidTr="00E96E0B">
        <w:trPr>
          <w:trHeight w:val="423"/>
        </w:trPr>
        <w:tc>
          <w:tcPr>
            <w:tcW w:w="5812" w:type="dxa"/>
            <w:tcBorders>
              <w:top w:val="nil"/>
              <w:left w:val="nil"/>
              <w:bottom w:val="nil"/>
              <w:right w:val="nil"/>
            </w:tcBorders>
          </w:tcPr>
          <w:p w14:paraId="381545BE" w14:textId="77777777" w:rsidR="000A180D" w:rsidRPr="00901F54" w:rsidRDefault="000A180D" w:rsidP="00E96E0B">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Marital Status </w:t>
            </w:r>
          </w:p>
          <w:p w14:paraId="23214B5D" w14:textId="77777777" w:rsidR="000A180D" w:rsidRPr="00901F54" w:rsidRDefault="000A180D" w:rsidP="00E96E0B">
            <w:pPr>
              <w:pStyle w:val="ListParagraph"/>
              <w:numPr>
                <w:ilvl w:val="0"/>
                <w:numId w:val="1"/>
              </w:numPr>
              <w:rPr>
                <w:rFonts w:ascii="Times New Roman" w:hAnsi="Times New Roman" w:cs="Times New Roman"/>
                <w:sz w:val="24"/>
                <w:szCs w:val="24"/>
                <w:lang w:val="en-US"/>
              </w:rPr>
            </w:pPr>
            <w:r w:rsidRPr="00901F54">
              <w:rPr>
                <w:rFonts w:ascii="Times New Roman" w:hAnsi="Times New Roman" w:cs="Times New Roman"/>
                <w:sz w:val="24"/>
                <w:szCs w:val="24"/>
                <w:lang w:val="en-US"/>
              </w:rPr>
              <w:t>Married n (%)</w:t>
            </w:r>
          </w:p>
          <w:p w14:paraId="4F54F13F" w14:textId="77777777" w:rsidR="000A180D" w:rsidRPr="00901F54" w:rsidRDefault="000A180D" w:rsidP="00E96E0B">
            <w:pPr>
              <w:pStyle w:val="ListParagraph"/>
              <w:numPr>
                <w:ilvl w:val="0"/>
                <w:numId w:val="1"/>
              </w:numPr>
              <w:rPr>
                <w:rFonts w:ascii="Times New Roman" w:hAnsi="Times New Roman" w:cs="Times New Roman"/>
                <w:sz w:val="24"/>
                <w:szCs w:val="24"/>
                <w:lang w:val="en-US"/>
              </w:rPr>
            </w:pPr>
            <w:r w:rsidRPr="00901F54">
              <w:rPr>
                <w:rFonts w:ascii="Times New Roman" w:hAnsi="Times New Roman" w:cs="Times New Roman"/>
                <w:sz w:val="24"/>
                <w:szCs w:val="24"/>
                <w:lang w:val="en-US"/>
              </w:rPr>
              <w:t>Widowers n (%)</w:t>
            </w:r>
          </w:p>
        </w:tc>
        <w:tc>
          <w:tcPr>
            <w:tcW w:w="3204" w:type="dxa"/>
            <w:tcBorders>
              <w:top w:val="nil"/>
              <w:left w:val="nil"/>
              <w:bottom w:val="nil"/>
              <w:right w:val="nil"/>
            </w:tcBorders>
          </w:tcPr>
          <w:p w14:paraId="08B7DC26" w14:textId="77777777" w:rsidR="000A180D" w:rsidRPr="00901F54" w:rsidRDefault="000A180D" w:rsidP="00E96E0B">
            <w:pPr>
              <w:rPr>
                <w:rFonts w:ascii="Times New Roman" w:hAnsi="Times New Roman" w:cs="Times New Roman"/>
                <w:sz w:val="24"/>
                <w:szCs w:val="24"/>
                <w:lang w:val="en-US"/>
              </w:rPr>
            </w:pPr>
          </w:p>
          <w:p w14:paraId="1085649D" w14:textId="77777777" w:rsidR="000A180D" w:rsidRPr="00901F54" w:rsidRDefault="000A180D" w:rsidP="00E96E0B">
            <w:pPr>
              <w:rPr>
                <w:rFonts w:ascii="Times New Roman" w:hAnsi="Times New Roman" w:cs="Times New Roman"/>
                <w:sz w:val="24"/>
                <w:szCs w:val="24"/>
                <w:lang w:val="en-US"/>
              </w:rPr>
            </w:pPr>
            <w:r w:rsidRPr="00901F54">
              <w:rPr>
                <w:rFonts w:ascii="Times New Roman" w:hAnsi="Times New Roman" w:cs="Times New Roman"/>
                <w:sz w:val="24"/>
                <w:szCs w:val="24"/>
                <w:lang w:val="en-US"/>
              </w:rPr>
              <w:t>246 (78.1%)</w:t>
            </w:r>
          </w:p>
          <w:p w14:paraId="6871A776" w14:textId="77777777" w:rsidR="000A180D" w:rsidRPr="00901F54" w:rsidRDefault="000A180D" w:rsidP="00E96E0B">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69 (21.9%) </w:t>
            </w:r>
          </w:p>
        </w:tc>
      </w:tr>
      <w:tr w:rsidR="000A180D" w:rsidRPr="00901F54" w14:paraId="0E7E4245" w14:textId="77777777" w:rsidTr="00E96E0B">
        <w:trPr>
          <w:trHeight w:val="423"/>
        </w:trPr>
        <w:tc>
          <w:tcPr>
            <w:tcW w:w="5812" w:type="dxa"/>
            <w:tcBorders>
              <w:top w:val="nil"/>
              <w:left w:val="nil"/>
              <w:bottom w:val="nil"/>
              <w:right w:val="nil"/>
            </w:tcBorders>
          </w:tcPr>
          <w:p w14:paraId="0188E653" w14:textId="77777777" w:rsidR="000A180D" w:rsidRPr="00901F54" w:rsidRDefault="000A180D" w:rsidP="00E96E0B">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Employed n (%) </w:t>
            </w:r>
          </w:p>
        </w:tc>
        <w:tc>
          <w:tcPr>
            <w:tcW w:w="3204" w:type="dxa"/>
            <w:tcBorders>
              <w:top w:val="nil"/>
              <w:left w:val="nil"/>
              <w:bottom w:val="nil"/>
              <w:right w:val="nil"/>
            </w:tcBorders>
          </w:tcPr>
          <w:p w14:paraId="7BF8AFD4" w14:textId="77777777" w:rsidR="000A180D" w:rsidRPr="00901F54" w:rsidRDefault="000A180D" w:rsidP="00E96E0B">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95 (30.16%) </w:t>
            </w:r>
          </w:p>
        </w:tc>
      </w:tr>
      <w:tr w:rsidR="000A180D" w:rsidRPr="00901F54" w14:paraId="4FE9DD97" w14:textId="77777777" w:rsidTr="00E96E0B">
        <w:trPr>
          <w:trHeight w:val="1110"/>
        </w:trPr>
        <w:tc>
          <w:tcPr>
            <w:tcW w:w="5812" w:type="dxa"/>
            <w:tcBorders>
              <w:top w:val="nil"/>
              <w:left w:val="nil"/>
              <w:bottom w:val="nil"/>
              <w:right w:val="nil"/>
            </w:tcBorders>
          </w:tcPr>
          <w:p w14:paraId="1CC0FF73" w14:textId="77777777" w:rsidR="000A180D" w:rsidRPr="00901F54" w:rsidRDefault="000A180D" w:rsidP="00E96E0B">
            <w:pPr>
              <w:rPr>
                <w:rFonts w:ascii="Times New Roman" w:hAnsi="Times New Roman" w:cs="Times New Roman"/>
                <w:sz w:val="24"/>
                <w:szCs w:val="24"/>
                <w:lang w:val="en-US"/>
              </w:rPr>
            </w:pPr>
            <w:r w:rsidRPr="00901F54">
              <w:rPr>
                <w:rFonts w:ascii="Times New Roman" w:hAnsi="Times New Roman" w:cs="Times New Roman"/>
                <w:sz w:val="24"/>
                <w:szCs w:val="24"/>
                <w:lang w:val="en-US"/>
              </w:rPr>
              <w:lastRenderedPageBreak/>
              <w:t xml:space="preserve">Education n (%) </w:t>
            </w:r>
          </w:p>
          <w:p w14:paraId="3314A2F7" w14:textId="77777777" w:rsidR="000A180D" w:rsidRPr="00901F54" w:rsidRDefault="000A180D" w:rsidP="00E96E0B">
            <w:pPr>
              <w:pStyle w:val="ListParagraph"/>
              <w:numPr>
                <w:ilvl w:val="0"/>
                <w:numId w:val="2"/>
              </w:numPr>
              <w:rPr>
                <w:rFonts w:ascii="Times New Roman" w:hAnsi="Times New Roman" w:cs="Times New Roman"/>
                <w:sz w:val="24"/>
                <w:szCs w:val="24"/>
                <w:lang w:val="en-US"/>
              </w:rPr>
            </w:pPr>
            <w:r w:rsidRPr="00901F54">
              <w:rPr>
                <w:rFonts w:ascii="Times New Roman" w:hAnsi="Times New Roman" w:cs="Times New Roman"/>
                <w:sz w:val="24"/>
                <w:szCs w:val="24"/>
                <w:lang w:val="en-US"/>
              </w:rPr>
              <w:t>Elementary</w:t>
            </w:r>
          </w:p>
          <w:p w14:paraId="39BC9C72" w14:textId="77777777" w:rsidR="000A180D" w:rsidRPr="00901F54" w:rsidRDefault="000A180D" w:rsidP="00E96E0B">
            <w:pPr>
              <w:pStyle w:val="ListParagraph"/>
              <w:numPr>
                <w:ilvl w:val="0"/>
                <w:numId w:val="2"/>
              </w:numPr>
              <w:rPr>
                <w:rFonts w:ascii="Times New Roman" w:hAnsi="Times New Roman" w:cs="Times New Roman"/>
                <w:sz w:val="24"/>
                <w:szCs w:val="24"/>
                <w:lang w:val="en-US"/>
              </w:rPr>
            </w:pPr>
            <w:r w:rsidRPr="00901F54">
              <w:rPr>
                <w:rFonts w:ascii="Times New Roman" w:hAnsi="Times New Roman" w:cs="Times New Roman"/>
                <w:sz w:val="24"/>
                <w:szCs w:val="24"/>
                <w:lang w:val="en-US"/>
              </w:rPr>
              <w:t>High School</w:t>
            </w:r>
          </w:p>
          <w:p w14:paraId="13CA9C88" w14:textId="77777777" w:rsidR="000A180D" w:rsidRPr="00901F54" w:rsidRDefault="000A180D" w:rsidP="00E96E0B">
            <w:pPr>
              <w:pStyle w:val="ListParagraph"/>
              <w:numPr>
                <w:ilvl w:val="0"/>
                <w:numId w:val="2"/>
              </w:numPr>
              <w:rPr>
                <w:rFonts w:ascii="Times New Roman" w:hAnsi="Times New Roman" w:cs="Times New Roman"/>
                <w:sz w:val="24"/>
                <w:szCs w:val="24"/>
                <w:lang w:val="en-US"/>
              </w:rPr>
            </w:pPr>
            <w:r w:rsidRPr="00901F54">
              <w:rPr>
                <w:rFonts w:ascii="Times New Roman" w:hAnsi="Times New Roman" w:cs="Times New Roman"/>
                <w:sz w:val="24"/>
                <w:szCs w:val="24"/>
                <w:lang w:val="en-US"/>
              </w:rPr>
              <w:t>Graduate</w:t>
            </w:r>
          </w:p>
        </w:tc>
        <w:tc>
          <w:tcPr>
            <w:tcW w:w="3204" w:type="dxa"/>
            <w:tcBorders>
              <w:top w:val="nil"/>
              <w:left w:val="nil"/>
              <w:bottom w:val="nil"/>
              <w:right w:val="nil"/>
            </w:tcBorders>
          </w:tcPr>
          <w:p w14:paraId="5EE3BC16" w14:textId="77777777" w:rsidR="000A180D" w:rsidRPr="00901F54" w:rsidRDefault="000A180D" w:rsidP="00E96E0B">
            <w:pPr>
              <w:rPr>
                <w:rFonts w:ascii="Times New Roman" w:hAnsi="Times New Roman" w:cs="Times New Roman"/>
                <w:sz w:val="24"/>
                <w:szCs w:val="24"/>
                <w:lang w:val="en-US"/>
              </w:rPr>
            </w:pPr>
          </w:p>
          <w:p w14:paraId="61B3780C" w14:textId="77777777" w:rsidR="000A180D" w:rsidRPr="00901F54" w:rsidRDefault="000A180D" w:rsidP="00E96E0B">
            <w:pPr>
              <w:rPr>
                <w:rFonts w:ascii="Times New Roman" w:hAnsi="Times New Roman" w:cs="Times New Roman"/>
                <w:sz w:val="24"/>
                <w:szCs w:val="24"/>
                <w:lang w:val="en-US"/>
              </w:rPr>
            </w:pPr>
            <w:r w:rsidRPr="00901F54">
              <w:rPr>
                <w:rFonts w:ascii="Times New Roman" w:hAnsi="Times New Roman" w:cs="Times New Roman"/>
                <w:sz w:val="24"/>
                <w:szCs w:val="24"/>
                <w:lang w:val="en-US"/>
              </w:rPr>
              <w:t>33 (10.47 %)</w:t>
            </w:r>
          </w:p>
          <w:p w14:paraId="3D115F51" w14:textId="77777777" w:rsidR="000A180D" w:rsidRPr="00901F54" w:rsidRDefault="000A180D" w:rsidP="00E96E0B">
            <w:pPr>
              <w:rPr>
                <w:rFonts w:ascii="Times New Roman" w:hAnsi="Times New Roman" w:cs="Times New Roman"/>
                <w:sz w:val="24"/>
                <w:szCs w:val="24"/>
                <w:lang w:val="en-US"/>
              </w:rPr>
            </w:pPr>
            <w:r w:rsidRPr="00901F54">
              <w:rPr>
                <w:rFonts w:ascii="Times New Roman" w:hAnsi="Times New Roman" w:cs="Times New Roman"/>
                <w:sz w:val="24"/>
                <w:szCs w:val="24"/>
                <w:lang w:val="en-US"/>
              </w:rPr>
              <w:t>18 (5.71 %)</w:t>
            </w:r>
          </w:p>
          <w:p w14:paraId="5E828309" w14:textId="77777777" w:rsidR="000A180D" w:rsidRPr="00901F54" w:rsidRDefault="000A180D" w:rsidP="00E96E0B">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7 (2.2 %) </w:t>
            </w:r>
          </w:p>
        </w:tc>
      </w:tr>
      <w:tr w:rsidR="000A180D" w:rsidRPr="00901F54" w14:paraId="632629EA" w14:textId="77777777" w:rsidTr="00E96E0B">
        <w:trPr>
          <w:trHeight w:val="984"/>
        </w:trPr>
        <w:tc>
          <w:tcPr>
            <w:tcW w:w="5812" w:type="dxa"/>
            <w:tcBorders>
              <w:top w:val="nil"/>
              <w:left w:val="nil"/>
              <w:bottom w:val="nil"/>
              <w:right w:val="nil"/>
            </w:tcBorders>
          </w:tcPr>
          <w:p w14:paraId="59E6C438" w14:textId="77777777" w:rsidR="000A180D" w:rsidRPr="00901F54" w:rsidRDefault="000A180D" w:rsidP="00E96E0B">
            <w:pPr>
              <w:rPr>
                <w:rFonts w:ascii="Times New Roman" w:hAnsi="Times New Roman" w:cs="Times New Roman"/>
                <w:sz w:val="24"/>
                <w:szCs w:val="24"/>
                <w:lang w:val="en-US"/>
              </w:rPr>
            </w:pPr>
            <w:r w:rsidRPr="00901F54">
              <w:rPr>
                <w:rFonts w:ascii="Times New Roman" w:hAnsi="Times New Roman" w:cs="Times New Roman"/>
                <w:sz w:val="24"/>
                <w:szCs w:val="24"/>
                <w:lang w:val="en-US"/>
              </w:rPr>
              <w:t>Polypharmacy n (%)</w:t>
            </w:r>
          </w:p>
          <w:p w14:paraId="0502746F" w14:textId="77777777" w:rsidR="000A180D" w:rsidRPr="00901F54" w:rsidRDefault="000A180D" w:rsidP="00E96E0B">
            <w:pPr>
              <w:ind w:left="720"/>
              <w:rPr>
                <w:rFonts w:ascii="Times New Roman" w:hAnsi="Times New Roman" w:cs="Times New Roman"/>
                <w:sz w:val="24"/>
                <w:szCs w:val="24"/>
                <w:lang w:val="en-US"/>
              </w:rPr>
            </w:pPr>
            <w:r>
              <w:rPr>
                <w:rFonts w:ascii="Times New Roman" w:hAnsi="Times New Roman" w:cs="Times New Roman"/>
                <w:sz w:val="24"/>
                <w:szCs w:val="24"/>
                <w:lang w:val="en-US"/>
              </w:rPr>
              <w:t>Patients using less than 5 medications a day</w:t>
            </w:r>
          </w:p>
          <w:p w14:paraId="4A3982DE" w14:textId="77777777" w:rsidR="000A180D" w:rsidRPr="00901F54" w:rsidRDefault="000A180D" w:rsidP="00E96E0B">
            <w:pPr>
              <w:ind w:left="720"/>
              <w:rPr>
                <w:rFonts w:ascii="Times New Roman" w:hAnsi="Times New Roman" w:cs="Times New Roman"/>
                <w:sz w:val="24"/>
                <w:szCs w:val="24"/>
                <w:lang w:val="en-US"/>
              </w:rPr>
            </w:pPr>
            <w:r>
              <w:rPr>
                <w:rFonts w:ascii="Times New Roman" w:hAnsi="Times New Roman" w:cs="Times New Roman"/>
                <w:sz w:val="24"/>
                <w:szCs w:val="24"/>
                <w:lang w:val="en-US"/>
              </w:rPr>
              <w:t>Patients using between</w:t>
            </w:r>
            <w:r w:rsidRPr="00901F54">
              <w:rPr>
                <w:rFonts w:ascii="Times New Roman" w:hAnsi="Times New Roman" w:cs="Times New Roman"/>
                <w:sz w:val="24"/>
                <w:szCs w:val="24"/>
                <w:lang w:val="en-US"/>
              </w:rPr>
              <w:t xml:space="preserve"> </w:t>
            </w:r>
            <w:r>
              <w:rPr>
                <w:rFonts w:ascii="Times New Roman" w:hAnsi="Times New Roman" w:cs="Times New Roman"/>
                <w:sz w:val="24"/>
                <w:szCs w:val="24"/>
                <w:lang w:val="en-US"/>
              </w:rPr>
              <w:t>5 and 7</w:t>
            </w:r>
            <w:r w:rsidRPr="00901F54">
              <w:rPr>
                <w:rFonts w:ascii="Times New Roman" w:hAnsi="Times New Roman" w:cs="Times New Roman"/>
                <w:sz w:val="24"/>
                <w:szCs w:val="24"/>
                <w:lang w:val="en-US"/>
              </w:rPr>
              <w:t xml:space="preserve"> medication per day</w:t>
            </w:r>
          </w:p>
          <w:p w14:paraId="1B5E4F80" w14:textId="77777777" w:rsidR="000A180D" w:rsidRPr="00901F54" w:rsidRDefault="000A180D" w:rsidP="00E96E0B">
            <w:pPr>
              <w:ind w:left="720"/>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Patients using </w:t>
            </w:r>
            <w:r>
              <w:rPr>
                <w:rFonts w:ascii="Times New Roman" w:hAnsi="Times New Roman" w:cs="Times New Roman"/>
                <w:sz w:val="24"/>
                <w:szCs w:val="24"/>
                <w:lang w:val="en-US"/>
              </w:rPr>
              <w:t>8</w:t>
            </w:r>
            <w:r w:rsidRPr="00901F54">
              <w:rPr>
                <w:rFonts w:ascii="Times New Roman" w:hAnsi="Times New Roman" w:cs="Times New Roman"/>
                <w:sz w:val="24"/>
                <w:szCs w:val="24"/>
                <w:lang w:val="en-US"/>
              </w:rPr>
              <w:t xml:space="preserve"> or more medication per day</w:t>
            </w:r>
          </w:p>
        </w:tc>
        <w:tc>
          <w:tcPr>
            <w:tcW w:w="3204" w:type="dxa"/>
            <w:tcBorders>
              <w:top w:val="nil"/>
              <w:left w:val="nil"/>
              <w:bottom w:val="nil"/>
              <w:right w:val="nil"/>
            </w:tcBorders>
          </w:tcPr>
          <w:p w14:paraId="0C1C949B" w14:textId="77777777" w:rsidR="000A180D" w:rsidRPr="00901F54" w:rsidRDefault="000A180D" w:rsidP="00E96E0B">
            <w:pPr>
              <w:rPr>
                <w:rFonts w:ascii="Times New Roman" w:hAnsi="Times New Roman" w:cs="Times New Roman"/>
                <w:sz w:val="24"/>
                <w:szCs w:val="24"/>
                <w:lang w:val="en-US"/>
              </w:rPr>
            </w:pPr>
          </w:p>
          <w:p w14:paraId="3F7DAD24" w14:textId="77777777" w:rsidR="000A180D" w:rsidRPr="00901F54" w:rsidRDefault="000A180D" w:rsidP="00E96E0B">
            <w:pPr>
              <w:rPr>
                <w:rFonts w:ascii="Times New Roman" w:hAnsi="Times New Roman" w:cs="Times New Roman"/>
                <w:sz w:val="24"/>
                <w:szCs w:val="24"/>
                <w:lang w:val="en-US"/>
              </w:rPr>
            </w:pPr>
            <w:r>
              <w:rPr>
                <w:rFonts w:ascii="Times New Roman" w:hAnsi="Times New Roman" w:cs="Times New Roman"/>
                <w:sz w:val="24"/>
                <w:szCs w:val="24"/>
                <w:lang w:val="en-US"/>
              </w:rPr>
              <w:t>8</w:t>
            </w:r>
            <w:r w:rsidRPr="00901F54">
              <w:rPr>
                <w:rFonts w:ascii="Times New Roman" w:hAnsi="Times New Roman" w:cs="Times New Roman"/>
                <w:sz w:val="24"/>
                <w:szCs w:val="24"/>
                <w:lang w:val="en-US"/>
              </w:rPr>
              <w:t xml:space="preserve"> (</w:t>
            </w:r>
            <w:r>
              <w:rPr>
                <w:rFonts w:ascii="Times New Roman" w:hAnsi="Times New Roman" w:cs="Times New Roman"/>
                <w:sz w:val="24"/>
                <w:szCs w:val="24"/>
                <w:lang w:val="en-US"/>
              </w:rPr>
              <w:t>2.53</w:t>
            </w:r>
            <w:r w:rsidRPr="00901F54">
              <w:rPr>
                <w:rFonts w:ascii="Times New Roman" w:hAnsi="Times New Roman" w:cs="Times New Roman"/>
                <w:sz w:val="24"/>
                <w:szCs w:val="24"/>
                <w:lang w:val="en-US"/>
              </w:rPr>
              <w:t>%)</w:t>
            </w:r>
          </w:p>
          <w:p w14:paraId="536805B5" w14:textId="77777777" w:rsidR="000A180D" w:rsidRPr="00901F54" w:rsidRDefault="000A180D" w:rsidP="00E96E0B">
            <w:pPr>
              <w:rPr>
                <w:rFonts w:ascii="Times New Roman" w:hAnsi="Times New Roman" w:cs="Times New Roman"/>
                <w:sz w:val="24"/>
                <w:szCs w:val="24"/>
                <w:lang w:val="en-US"/>
              </w:rPr>
            </w:pPr>
            <w:r>
              <w:rPr>
                <w:rFonts w:ascii="Times New Roman" w:hAnsi="Times New Roman" w:cs="Times New Roman"/>
                <w:sz w:val="24"/>
                <w:szCs w:val="24"/>
                <w:lang w:val="en-US"/>
              </w:rPr>
              <w:t xml:space="preserve">227 </w:t>
            </w:r>
            <w:r w:rsidRPr="00901F54">
              <w:rPr>
                <w:rFonts w:ascii="Times New Roman" w:hAnsi="Times New Roman" w:cs="Times New Roman"/>
                <w:sz w:val="24"/>
                <w:szCs w:val="24"/>
                <w:lang w:val="en-US"/>
              </w:rPr>
              <w:t>(</w:t>
            </w:r>
            <w:r>
              <w:rPr>
                <w:rFonts w:ascii="Times New Roman" w:hAnsi="Times New Roman" w:cs="Times New Roman"/>
                <w:sz w:val="24"/>
                <w:szCs w:val="24"/>
                <w:lang w:val="en-US"/>
              </w:rPr>
              <w:t>72</w:t>
            </w:r>
            <w:r w:rsidRPr="00901F54">
              <w:rPr>
                <w:rFonts w:ascii="Times New Roman" w:hAnsi="Times New Roman" w:cs="Times New Roman"/>
                <w:sz w:val="24"/>
                <w:szCs w:val="24"/>
                <w:lang w:val="en-US"/>
              </w:rPr>
              <w:t>.</w:t>
            </w:r>
            <w:r>
              <w:rPr>
                <w:rFonts w:ascii="Times New Roman" w:hAnsi="Times New Roman" w:cs="Times New Roman"/>
                <w:sz w:val="24"/>
                <w:szCs w:val="24"/>
                <w:lang w:val="en-US"/>
              </w:rPr>
              <w:t>06</w:t>
            </w:r>
            <w:r w:rsidRPr="00901F54">
              <w:rPr>
                <w:rFonts w:ascii="Times New Roman" w:hAnsi="Times New Roman" w:cs="Times New Roman"/>
                <w:sz w:val="24"/>
                <w:szCs w:val="24"/>
                <w:lang w:val="en-US"/>
              </w:rPr>
              <w:t xml:space="preserve"> %)</w:t>
            </w:r>
          </w:p>
          <w:p w14:paraId="58AFE378" w14:textId="77777777" w:rsidR="000A180D" w:rsidRPr="00901F54" w:rsidRDefault="000A180D" w:rsidP="00E96E0B">
            <w:pPr>
              <w:rPr>
                <w:rFonts w:ascii="Times New Roman" w:hAnsi="Times New Roman" w:cs="Times New Roman"/>
                <w:sz w:val="24"/>
                <w:szCs w:val="24"/>
                <w:lang w:val="en-US"/>
              </w:rPr>
            </w:pPr>
            <w:r>
              <w:rPr>
                <w:rFonts w:ascii="Times New Roman" w:hAnsi="Times New Roman" w:cs="Times New Roman"/>
                <w:sz w:val="24"/>
                <w:szCs w:val="24"/>
                <w:lang w:val="en-US"/>
              </w:rPr>
              <w:t>80</w:t>
            </w:r>
            <w:r w:rsidRPr="00901F54">
              <w:rPr>
                <w:rFonts w:ascii="Times New Roman" w:hAnsi="Times New Roman" w:cs="Times New Roman"/>
                <w:sz w:val="24"/>
                <w:szCs w:val="24"/>
                <w:lang w:val="en-US"/>
              </w:rPr>
              <w:t xml:space="preserve"> (</w:t>
            </w:r>
            <w:r>
              <w:rPr>
                <w:rFonts w:ascii="Times New Roman" w:hAnsi="Times New Roman" w:cs="Times New Roman"/>
                <w:sz w:val="24"/>
                <w:szCs w:val="24"/>
                <w:lang w:val="en-US"/>
              </w:rPr>
              <w:t>25.39</w:t>
            </w:r>
            <w:r w:rsidRPr="00901F54">
              <w:rPr>
                <w:rFonts w:ascii="Times New Roman" w:hAnsi="Times New Roman" w:cs="Times New Roman"/>
                <w:sz w:val="24"/>
                <w:szCs w:val="24"/>
                <w:lang w:val="en-US"/>
              </w:rPr>
              <w:t xml:space="preserve"> %) </w:t>
            </w:r>
          </w:p>
          <w:p w14:paraId="6EB64FF4" w14:textId="77777777" w:rsidR="000A180D" w:rsidRPr="00901F54" w:rsidRDefault="000A180D" w:rsidP="00E96E0B">
            <w:pPr>
              <w:rPr>
                <w:rFonts w:ascii="Times New Roman" w:hAnsi="Times New Roman" w:cs="Times New Roman"/>
                <w:sz w:val="24"/>
                <w:szCs w:val="24"/>
                <w:lang w:val="en-US"/>
              </w:rPr>
            </w:pPr>
          </w:p>
        </w:tc>
      </w:tr>
      <w:tr w:rsidR="000A180D" w:rsidRPr="00901F54" w14:paraId="2F17528E" w14:textId="77777777" w:rsidTr="00E96E0B">
        <w:trPr>
          <w:trHeight w:val="423"/>
        </w:trPr>
        <w:tc>
          <w:tcPr>
            <w:tcW w:w="5812" w:type="dxa"/>
            <w:tcBorders>
              <w:top w:val="nil"/>
              <w:left w:val="nil"/>
              <w:bottom w:val="nil"/>
              <w:right w:val="nil"/>
            </w:tcBorders>
          </w:tcPr>
          <w:p w14:paraId="4A22F3F6" w14:textId="77777777" w:rsidR="000A180D" w:rsidRPr="00901F54" w:rsidRDefault="000A180D" w:rsidP="00E96E0B">
            <w:pPr>
              <w:rPr>
                <w:rFonts w:ascii="Times New Roman" w:hAnsi="Times New Roman" w:cs="Times New Roman"/>
                <w:sz w:val="24"/>
                <w:szCs w:val="24"/>
                <w:lang w:val="en-US"/>
              </w:rPr>
            </w:pPr>
            <w:r w:rsidRPr="00901F54">
              <w:rPr>
                <w:rFonts w:ascii="Times New Roman" w:hAnsi="Times New Roman" w:cs="Times New Roman"/>
                <w:sz w:val="24"/>
                <w:szCs w:val="24"/>
                <w:lang w:val="en-US"/>
              </w:rPr>
              <w:t>Number of Medicine Intake per day, mean (SD)</w:t>
            </w:r>
          </w:p>
        </w:tc>
        <w:tc>
          <w:tcPr>
            <w:tcW w:w="3204" w:type="dxa"/>
            <w:tcBorders>
              <w:top w:val="nil"/>
              <w:left w:val="nil"/>
              <w:bottom w:val="nil"/>
              <w:right w:val="nil"/>
            </w:tcBorders>
          </w:tcPr>
          <w:p w14:paraId="39F60B2B" w14:textId="77777777" w:rsidR="000A180D" w:rsidRPr="00901F54" w:rsidRDefault="000A180D" w:rsidP="00E96E0B">
            <w:pPr>
              <w:rPr>
                <w:rFonts w:ascii="Times New Roman" w:hAnsi="Times New Roman" w:cs="Times New Roman"/>
                <w:sz w:val="24"/>
                <w:szCs w:val="24"/>
                <w:lang w:val="en-US"/>
              </w:rPr>
            </w:pPr>
            <w:r w:rsidRPr="00901F54">
              <w:rPr>
                <w:rFonts w:ascii="Times New Roman" w:hAnsi="Times New Roman" w:cs="Times New Roman"/>
                <w:sz w:val="24"/>
                <w:szCs w:val="24"/>
                <w:lang w:val="en-US"/>
              </w:rPr>
              <w:t>6.76 (1.61)</w:t>
            </w:r>
          </w:p>
        </w:tc>
      </w:tr>
      <w:tr w:rsidR="000A180D" w:rsidRPr="00901F54" w14:paraId="3F41B5CE" w14:textId="77777777" w:rsidTr="00E96E0B">
        <w:trPr>
          <w:trHeight w:val="423"/>
        </w:trPr>
        <w:tc>
          <w:tcPr>
            <w:tcW w:w="5812" w:type="dxa"/>
            <w:tcBorders>
              <w:top w:val="nil"/>
              <w:left w:val="nil"/>
              <w:bottom w:val="nil"/>
              <w:right w:val="nil"/>
            </w:tcBorders>
          </w:tcPr>
          <w:p w14:paraId="2CC6D493" w14:textId="77777777" w:rsidR="000A180D" w:rsidRPr="00901F54" w:rsidRDefault="000A180D" w:rsidP="00E96E0B">
            <w:pPr>
              <w:rPr>
                <w:rFonts w:ascii="Times New Roman" w:hAnsi="Times New Roman" w:cs="Times New Roman"/>
                <w:sz w:val="24"/>
                <w:szCs w:val="24"/>
                <w:lang w:val="en-US"/>
              </w:rPr>
            </w:pPr>
          </w:p>
        </w:tc>
        <w:tc>
          <w:tcPr>
            <w:tcW w:w="3204" w:type="dxa"/>
            <w:tcBorders>
              <w:top w:val="nil"/>
              <w:left w:val="nil"/>
              <w:bottom w:val="nil"/>
              <w:right w:val="nil"/>
            </w:tcBorders>
          </w:tcPr>
          <w:p w14:paraId="62D5CDB6" w14:textId="77777777" w:rsidR="000A180D" w:rsidRPr="00901F54" w:rsidRDefault="000A180D" w:rsidP="00E96E0B">
            <w:pPr>
              <w:rPr>
                <w:rFonts w:ascii="Times New Roman" w:hAnsi="Times New Roman" w:cs="Times New Roman"/>
                <w:sz w:val="24"/>
                <w:szCs w:val="24"/>
                <w:lang w:val="en-US"/>
              </w:rPr>
            </w:pPr>
          </w:p>
        </w:tc>
      </w:tr>
    </w:tbl>
    <w:p w14:paraId="56E86EE2" w14:textId="77777777" w:rsidR="000A180D" w:rsidRPr="00901F54" w:rsidRDefault="000A180D" w:rsidP="000A180D">
      <w:pPr>
        <w:rPr>
          <w:rFonts w:ascii="Times New Roman" w:hAnsi="Times New Roman" w:cs="Times New Roman"/>
          <w:sz w:val="24"/>
          <w:szCs w:val="24"/>
          <w:lang w:val="en-US"/>
        </w:rPr>
      </w:pPr>
    </w:p>
    <w:p w14:paraId="6F2FC50C" w14:textId="57E4261B" w:rsidR="003D6617" w:rsidRPr="00FC2165" w:rsidRDefault="005F0CEC" w:rsidP="00FC2165">
      <w:pPr>
        <w:pStyle w:val="Heading2"/>
        <w:rPr>
          <w:rFonts w:ascii="Times New Roman" w:hAnsi="Times New Roman" w:cs="Times New Roman"/>
          <w:sz w:val="24"/>
          <w:szCs w:val="24"/>
          <w:lang w:val="en-US"/>
        </w:rPr>
      </w:pPr>
      <w:r w:rsidRPr="00FC2165">
        <w:rPr>
          <w:rFonts w:ascii="Times New Roman" w:hAnsi="Times New Roman" w:cs="Times New Roman"/>
          <w:sz w:val="24"/>
          <w:szCs w:val="24"/>
          <w:lang w:val="en-US"/>
        </w:rPr>
        <w:t xml:space="preserve">Table 2: </w:t>
      </w:r>
      <w:r w:rsidR="003D6617" w:rsidRPr="00FC2165">
        <w:rPr>
          <w:rFonts w:ascii="Times New Roman" w:hAnsi="Times New Roman" w:cs="Times New Roman"/>
          <w:sz w:val="24"/>
          <w:szCs w:val="24"/>
          <w:lang w:val="en-US"/>
        </w:rPr>
        <w:t xml:space="preserve">Indexes </w:t>
      </w:r>
    </w:p>
    <w:tbl>
      <w:tblPr>
        <w:tblStyle w:val="TableGrid"/>
        <w:tblW w:w="0" w:type="auto"/>
        <w:tblLook w:val="04A0" w:firstRow="1" w:lastRow="0" w:firstColumn="1" w:lastColumn="0" w:noHBand="0" w:noVBand="1"/>
      </w:tblPr>
      <w:tblGrid>
        <w:gridCol w:w="5812"/>
        <w:gridCol w:w="3204"/>
      </w:tblGrid>
      <w:tr w:rsidR="003D6617" w:rsidRPr="00901F54" w14:paraId="1B352351" w14:textId="77777777" w:rsidTr="00E96E0B">
        <w:trPr>
          <w:trHeight w:val="423"/>
        </w:trPr>
        <w:tc>
          <w:tcPr>
            <w:tcW w:w="5812" w:type="dxa"/>
            <w:tcBorders>
              <w:left w:val="nil"/>
              <w:bottom w:val="single" w:sz="4" w:space="0" w:color="auto"/>
              <w:right w:val="nil"/>
            </w:tcBorders>
          </w:tcPr>
          <w:p w14:paraId="16A74344" w14:textId="77777777" w:rsidR="003D6617" w:rsidRPr="00901F54" w:rsidRDefault="003D6617" w:rsidP="00E96E0B">
            <w:pPr>
              <w:rPr>
                <w:rFonts w:ascii="Times New Roman" w:hAnsi="Times New Roman" w:cs="Times New Roman"/>
                <w:b/>
                <w:bCs/>
                <w:sz w:val="24"/>
                <w:szCs w:val="24"/>
                <w:lang w:val="en-US"/>
              </w:rPr>
            </w:pPr>
            <w:r>
              <w:rPr>
                <w:rFonts w:ascii="Times New Roman" w:hAnsi="Times New Roman" w:cs="Times New Roman"/>
                <w:b/>
                <w:bCs/>
                <w:sz w:val="24"/>
                <w:szCs w:val="24"/>
                <w:lang w:val="en-US"/>
              </w:rPr>
              <w:t>Index</w:t>
            </w:r>
          </w:p>
        </w:tc>
        <w:tc>
          <w:tcPr>
            <w:tcW w:w="3204" w:type="dxa"/>
            <w:tcBorders>
              <w:left w:val="nil"/>
              <w:bottom w:val="single" w:sz="4" w:space="0" w:color="auto"/>
              <w:right w:val="nil"/>
            </w:tcBorders>
          </w:tcPr>
          <w:p w14:paraId="29CC3C61" w14:textId="77777777" w:rsidR="003D6617" w:rsidRPr="00901F54" w:rsidRDefault="003D6617" w:rsidP="00E96E0B">
            <w:pPr>
              <w:rPr>
                <w:rFonts w:ascii="Times New Roman" w:hAnsi="Times New Roman" w:cs="Times New Roman"/>
                <w:b/>
                <w:bCs/>
                <w:sz w:val="24"/>
                <w:szCs w:val="24"/>
                <w:lang w:val="en-US"/>
              </w:rPr>
            </w:pPr>
            <w:r w:rsidRPr="00901F54">
              <w:rPr>
                <w:rFonts w:ascii="Times New Roman" w:hAnsi="Times New Roman" w:cs="Times New Roman"/>
                <w:b/>
                <w:bCs/>
                <w:sz w:val="24"/>
                <w:szCs w:val="24"/>
                <w:lang w:val="en-US"/>
              </w:rPr>
              <w:t>Statistics</w:t>
            </w:r>
          </w:p>
        </w:tc>
      </w:tr>
      <w:tr w:rsidR="003D6617" w:rsidRPr="00901F54" w14:paraId="7FD3B0D4" w14:textId="77777777" w:rsidTr="003D6617">
        <w:trPr>
          <w:trHeight w:val="2013"/>
        </w:trPr>
        <w:tc>
          <w:tcPr>
            <w:tcW w:w="5812" w:type="dxa"/>
            <w:tcBorders>
              <w:top w:val="nil"/>
              <w:left w:val="nil"/>
              <w:bottom w:val="nil"/>
              <w:right w:val="nil"/>
            </w:tcBorders>
          </w:tcPr>
          <w:p w14:paraId="74E71962" w14:textId="77777777" w:rsidR="003D6617" w:rsidRDefault="003D6617" w:rsidP="00E96E0B">
            <w:pPr>
              <w:rPr>
                <w:rFonts w:ascii="Times New Roman" w:hAnsi="Times New Roman" w:cs="Times New Roman"/>
                <w:b/>
                <w:bCs/>
                <w:sz w:val="24"/>
                <w:szCs w:val="24"/>
                <w:lang w:val="en-US"/>
              </w:rPr>
            </w:pPr>
          </w:p>
          <w:p w14:paraId="788CB517" w14:textId="3E44EA8E" w:rsidR="003D6617" w:rsidRPr="000218C9" w:rsidRDefault="003D6617" w:rsidP="00E96E0B">
            <w:pPr>
              <w:rPr>
                <w:rFonts w:ascii="Times New Roman" w:hAnsi="Times New Roman" w:cs="Times New Roman"/>
                <w:b/>
                <w:bCs/>
                <w:sz w:val="24"/>
                <w:szCs w:val="24"/>
                <w:lang w:val="en-US"/>
              </w:rPr>
            </w:pPr>
            <w:r w:rsidRPr="00B32E48">
              <w:rPr>
                <w:rFonts w:ascii="Times New Roman" w:hAnsi="Times New Roman" w:cs="Times New Roman"/>
                <w:b/>
                <w:bCs/>
                <w:sz w:val="24"/>
                <w:szCs w:val="24"/>
                <w:lang w:val="en-US"/>
              </w:rPr>
              <w:t xml:space="preserve">Charlson Comorbidity Index (CCI) </w:t>
            </w:r>
          </w:p>
          <w:p w14:paraId="490C3235" w14:textId="77777777" w:rsidR="003D6617" w:rsidRDefault="003D6617" w:rsidP="00E96E0B">
            <w:pPr>
              <w:ind w:left="720"/>
              <w:rPr>
                <w:rFonts w:ascii="Times New Roman" w:hAnsi="Times New Roman" w:cs="Times New Roman"/>
                <w:sz w:val="24"/>
                <w:szCs w:val="24"/>
                <w:lang w:val="en-US"/>
              </w:rPr>
            </w:pPr>
            <w:r>
              <w:rPr>
                <w:rFonts w:ascii="Times New Roman" w:hAnsi="Times New Roman" w:cs="Times New Roman"/>
                <w:sz w:val="24"/>
                <w:szCs w:val="24"/>
                <w:lang w:val="en-US"/>
              </w:rPr>
              <w:t>Overall CCI (Mean ± Standard Deviation)</w:t>
            </w:r>
          </w:p>
          <w:p w14:paraId="73EF0905" w14:textId="31C3DFBE" w:rsidR="003D6617" w:rsidRPr="00BA3D8A" w:rsidRDefault="0059444A" w:rsidP="00E96E0B">
            <w:pPr>
              <w:ind w:left="72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Distribution based on </w:t>
            </w:r>
            <w:r w:rsidR="003D6617">
              <w:rPr>
                <w:rFonts w:ascii="Times New Roman" w:hAnsi="Times New Roman" w:cs="Times New Roman"/>
                <w:b/>
                <w:bCs/>
                <w:sz w:val="24"/>
                <w:szCs w:val="24"/>
                <w:lang w:val="en-US"/>
              </w:rPr>
              <w:t>a</w:t>
            </w:r>
            <w:r w:rsidR="003D6617" w:rsidRPr="00BA3D8A">
              <w:rPr>
                <w:rFonts w:ascii="Times New Roman" w:hAnsi="Times New Roman" w:cs="Times New Roman"/>
                <w:b/>
                <w:bCs/>
                <w:sz w:val="24"/>
                <w:szCs w:val="24"/>
                <w:lang w:val="en-US"/>
              </w:rPr>
              <w:t>ge group</w:t>
            </w:r>
            <w:r w:rsidR="003D6617">
              <w:rPr>
                <w:rFonts w:ascii="Times New Roman" w:hAnsi="Times New Roman" w:cs="Times New Roman"/>
                <w:b/>
                <w:bCs/>
                <w:sz w:val="24"/>
                <w:szCs w:val="24"/>
                <w:lang w:val="en-US"/>
              </w:rPr>
              <w:t>s</w:t>
            </w:r>
            <w:r w:rsidR="003D6617" w:rsidRPr="00BA3D8A">
              <w:rPr>
                <w:rFonts w:ascii="Times New Roman" w:hAnsi="Times New Roman" w:cs="Times New Roman"/>
                <w:b/>
                <w:bCs/>
                <w:sz w:val="24"/>
                <w:szCs w:val="24"/>
                <w:lang w:val="en-US"/>
              </w:rPr>
              <w:t xml:space="preserve"> </w:t>
            </w:r>
          </w:p>
          <w:p w14:paraId="343A08FE" w14:textId="77777777" w:rsidR="003D6617" w:rsidRDefault="003D6617" w:rsidP="003D661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60 to 69 years</w:t>
            </w:r>
          </w:p>
          <w:p w14:paraId="3177BBA3" w14:textId="77777777" w:rsidR="003D6617" w:rsidRDefault="003D6617" w:rsidP="003D661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70 to 79 years</w:t>
            </w:r>
          </w:p>
          <w:p w14:paraId="59661B01" w14:textId="77777777" w:rsidR="003D6617" w:rsidRPr="00501406" w:rsidRDefault="003D6617" w:rsidP="003D661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80 or more</w:t>
            </w:r>
          </w:p>
          <w:p w14:paraId="3D26D772" w14:textId="77777777" w:rsidR="003D6617" w:rsidRPr="00901F54" w:rsidRDefault="003D6617" w:rsidP="00E96E0B">
            <w:pPr>
              <w:rPr>
                <w:rFonts w:ascii="Times New Roman" w:hAnsi="Times New Roman" w:cs="Times New Roman"/>
                <w:sz w:val="24"/>
                <w:szCs w:val="24"/>
                <w:lang w:val="en-US"/>
              </w:rPr>
            </w:pPr>
          </w:p>
        </w:tc>
        <w:tc>
          <w:tcPr>
            <w:tcW w:w="3204" w:type="dxa"/>
            <w:tcBorders>
              <w:top w:val="nil"/>
              <w:left w:val="nil"/>
              <w:bottom w:val="nil"/>
              <w:right w:val="nil"/>
            </w:tcBorders>
          </w:tcPr>
          <w:p w14:paraId="16240157" w14:textId="77777777" w:rsidR="003D6617" w:rsidRDefault="003D6617" w:rsidP="00E96E0B">
            <w:pPr>
              <w:rPr>
                <w:rFonts w:ascii="Times New Roman" w:hAnsi="Times New Roman" w:cs="Times New Roman"/>
                <w:sz w:val="24"/>
                <w:szCs w:val="24"/>
                <w:lang w:val="en-US"/>
              </w:rPr>
            </w:pPr>
          </w:p>
          <w:p w14:paraId="7E5420AC" w14:textId="77777777" w:rsidR="003D6617" w:rsidRDefault="003D6617" w:rsidP="00E96E0B">
            <w:pPr>
              <w:rPr>
                <w:rFonts w:ascii="Times New Roman" w:hAnsi="Times New Roman" w:cs="Times New Roman"/>
                <w:sz w:val="24"/>
                <w:szCs w:val="24"/>
                <w:lang w:val="en-US"/>
              </w:rPr>
            </w:pPr>
            <w:r>
              <w:rPr>
                <w:rFonts w:ascii="Times New Roman" w:hAnsi="Times New Roman" w:cs="Times New Roman"/>
                <w:sz w:val="24"/>
                <w:szCs w:val="24"/>
                <w:lang w:val="en-US"/>
              </w:rPr>
              <w:t>4.37 ± 1.1</w:t>
            </w:r>
          </w:p>
          <w:p w14:paraId="7C765DEB" w14:textId="77777777" w:rsidR="003D6617" w:rsidRDefault="003D6617" w:rsidP="00E96E0B">
            <w:pPr>
              <w:rPr>
                <w:rFonts w:ascii="Times New Roman" w:hAnsi="Times New Roman" w:cs="Times New Roman"/>
                <w:sz w:val="24"/>
                <w:szCs w:val="24"/>
                <w:lang w:val="en-US"/>
              </w:rPr>
            </w:pPr>
          </w:p>
          <w:p w14:paraId="3813D1E8" w14:textId="77777777" w:rsidR="009C43A0" w:rsidRDefault="009C43A0" w:rsidP="00E96E0B">
            <w:pPr>
              <w:rPr>
                <w:rFonts w:ascii="Times New Roman" w:hAnsi="Times New Roman" w:cs="Times New Roman"/>
                <w:sz w:val="24"/>
                <w:szCs w:val="24"/>
                <w:lang w:val="en-US"/>
              </w:rPr>
            </w:pPr>
          </w:p>
          <w:p w14:paraId="63FDEEE3" w14:textId="1D4340A6" w:rsidR="003D6617" w:rsidRDefault="003D6617" w:rsidP="00E96E0B">
            <w:pPr>
              <w:rPr>
                <w:rFonts w:ascii="Times New Roman" w:hAnsi="Times New Roman" w:cs="Times New Roman"/>
                <w:sz w:val="24"/>
                <w:szCs w:val="24"/>
                <w:lang w:val="en-US"/>
              </w:rPr>
            </w:pPr>
            <w:r>
              <w:rPr>
                <w:rFonts w:ascii="Times New Roman" w:hAnsi="Times New Roman" w:cs="Times New Roman"/>
                <w:sz w:val="24"/>
                <w:szCs w:val="24"/>
                <w:lang w:val="en-US"/>
              </w:rPr>
              <w:t>3.87 ± 0.87</w:t>
            </w:r>
          </w:p>
          <w:p w14:paraId="1FC277AC" w14:textId="77777777" w:rsidR="003D6617" w:rsidRDefault="003D6617" w:rsidP="00E96E0B">
            <w:pPr>
              <w:rPr>
                <w:rFonts w:ascii="Times New Roman" w:hAnsi="Times New Roman" w:cs="Times New Roman"/>
                <w:sz w:val="24"/>
                <w:szCs w:val="24"/>
                <w:lang w:val="en-US"/>
              </w:rPr>
            </w:pPr>
            <w:r>
              <w:rPr>
                <w:rFonts w:ascii="Times New Roman" w:hAnsi="Times New Roman" w:cs="Times New Roman"/>
                <w:sz w:val="24"/>
                <w:szCs w:val="24"/>
                <w:lang w:val="en-US"/>
              </w:rPr>
              <w:t>4.92 ± 1.03</w:t>
            </w:r>
          </w:p>
          <w:p w14:paraId="0275C8F8" w14:textId="77777777" w:rsidR="003D6617" w:rsidRDefault="003D6617" w:rsidP="00E96E0B">
            <w:pPr>
              <w:rPr>
                <w:rFonts w:ascii="Times New Roman" w:hAnsi="Times New Roman" w:cs="Times New Roman"/>
                <w:sz w:val="24"/>
                <w:szCs w:val="24"/>
                <w:lang w:val="en-US"/>
              </w:rPr>
            </w:pPr>
            <w:r>
              <w:rPr>
                <w:rFonts w:ascii="Times New Roman" w:hAnsi="Times New Roman" w:cs="Times New Roman"/>
                <w:sz w:val="24"/>
                <w:szCs w:val="24"/>
                <w:lang w:val="en-US"/>
              </w:rPr>
              <w:t>5.73 ± 0.73</w:t>
            </w:r>
          </w:p>
          <w:p w14:paraId="7BAB9081" w14:textId="77777777" w:rsidR="003D6617" w:rsidRPr="00901F54" w:rsidRDefault="003D6617" w:rsidP="00E96E0B">
            <w:pPr>
              <w:rPr>
                <w:rFonts w:ascii="Times New Roman" w:hAnsi="Times New Roman" w:cs="Times New Roman"/>
                <w:sz w:val="24"/>
                <w:szCs w:val="24"/>
                <w:lang w:val="en-US"/>
              </w:rPr>
            </w:pPr>
          </w:p>
        </w:tc>
      </w:tr>
      <w:tr w:rsidR="003D6617" w:rsidRPr="00901F54" w14:paraId="0E1D2898" w14:textId="77777777" w:rsidTr="003D6617">
        <w:trPr>
          <w:trHeight w:val="2014"/>
        </w:trPr>
        <w:tc>
          <w:tcPr>
            <w:tcW w:w="5812" w:type="dxa"/>
            <w:tcBorders>
              <w:top w:val="nil"/>
              <w:left w:val="nil"/>
              <w:bottom w:val="nil"/>
              <w:right w:val="nil"/>
            </w:tcBorders>
          </w:tcPr>
          <w:p w14:paraId="092E317B" w14:textId="5698FF01" w:rsidR="003D6617" w:rsidRDefault="003D6617" w:rsidP="00E96E0B">
            <w:pPr>
              <w:rPr>
                <w:rFonts w:ascii="Times New Roman" w:hAnsi="Times New Roman" w:cs="Times New Roman"/>
                <w:b/>
                <w:bCs/>
                <w:sz w:val="24"/>
                <w:szCs w:val="24"/>
                <w:lang w:val="en-US"/>
              </w:rPr>
            </w:pPr>
            <w:r>
              <w:rPr>
                <w:rFonts w:ascii="Times New Roman" w:hAnsi="Times New Roman" w:cs="Times New Roman"/>
                <w:b/>
                <w:bCs/>
                <w:sz w:val="24"/>
                <w:szCs w:val="24"/>
                <w:lang w:val="en-US"/>
              </w:rPr>
              <w:t>Comorbidity Polypharmacy Score</w:t>
            </w:r>
            <w:r w:rsidR="004B4A84">
              <w:rPr>
                <w:rFonts w:ascii="Times New Roman" w:hAnsi="Times New Roman" w:cs="Times New Roman"/>
                <w:b/>
                <w:bCs/>
                <w:sz w:val="24"/>
                <w:szCs w:val="24"/>
                <w:lang w:val="en-US"/>
              </w:rPr>
              <w:t xml:space="preserve"> (CPS) </w:t>
            </w:r>
          </w:p>
          <w:p w14:paraId="467BA500" w14:textId="18E4B17B" w:rsidR="000732E5" w:rsidRPr="0098037E" w:rsidRDefault="000732E5" w:rsidP="000732E5">
            <w:pPr>
              <w:ind w:left="720"/>
              <w:rPr>
                <w:rFonts w:ascii="Times New Roman" w:hAnsi="Times New Roman" w:cs="Times New Roman"/>
                <w:sz w:val="24"/>
                <w:szCs w:val="24"/>
                <w:lang w:val="en-US"/>
              </w:rPr>
            </w:pPr>
            <w:r w:rsidRPr="0098037E">
              <w:rPr>
                <w:rFonts w:ascii="Times New Roman" w:hAnsi="Times New Roman" w:cs="Times New Roman"/>
                <w:sz w:val="24"/>
                <w:szCs w:val="24"/>
                <w:lang w:val="en-US"/>
              </w:rPr>
              <w:t>CPS (mean ± s</w:t>
            </w:r>
            <w:r w:rsidR="00706CF6">
              <w:rPr>
                <w:rFonts w:ascii="Times New Roman" w:hAnsi="Times New Roman" w:cs="Times New Roman"/>
                <w:sz w:val="24"/>
                <w:szCs w:val="24"/>
                <w:lang w:val="en-US"/>
              </w:rPr>
              <w:t>tan</w:t>
            </w:r>
            <w:r w:rsidRPr="0098037E">
              <w:rPr>
                <w:rFonts w:ascii="Times New Roman" w:hAnsi="Times New Roman" w:cs="Times New Roman"/>
                <w:sz w:val="24"/>
                <w:szCs w:val="24"/>
                <w:lang w:val="en-US"/>
              </w:rPr>
              <w:t>d</w:t>
            </w:r>
            <w:r w:rsidR="00706CF6">
              <w:rPr>
                <w:rFonts w:ascii="Times New Roman" w:hAnsi="Times New Roman" w:cs="Times New Roman"/>
                <w:sz w:val="24"/>
                <w:szCs w:val="24"/>
                <w:lang w:val="en-US"/>
              </w:rPr>
              <w:t>ard deviation</w:t>
            </w:r>
            <w:r w:rsidRPr="0098037E">
              <w:rPr>
                <w:rFonts w:ascii="Times New Roman" w:hAnsi="Times New Roman" w:cs="Times New Roman"/>
                <w:sz w:val="24"/>
                <w:szCs w:val="24"/>
                <w:lang w:val="en-US"/>
              </w:rPr>
              <w:t xml:space="preserve">) </w:t>
            </w:r>
          </w:p>
          <w:p w14:paraId="05E8FF5B" w14:textId="7A56320D" w:rsidR="004B4A84" w:rsidRDefault="0098037E" w:rsidP="004B4A84">
            <w:pPr>
              <w:ind w:left="720"/>
              <w:rPr>
                <w:rFonts w:ascii="Times New Roman" w:hAnsi="Times New Roman" w:cs="Times New Roman"/>
                <w:b/>
                <w:bCs/>
                <w:sz w:val="24"/>
                <w:szCs w:val="24"/>
                <w:lang w:val="en-US"/>
              </w:rPr>
            </w:pPr>
            <w:r>
              <w:rPr>
                <w:rFonts w:ascii="Times New Roman" w:hAnsi="Times New Roman" w:cs="Times New Roman"/>
                <w:b/>
                <w:bCs/>
                <w:sz w:val="24"/>
                <w:szCs w:val="24"/>
                <w:lang w:val="en-US"/>
              </w:rPr>
              <w:t>Distribution</w:t>
            </w:r>
            <w:r w:rsidR="000732E5">
              <w:rPr>
                <w:rFonts w:ascii="Times New Roman" w:hAnsi="Times New Roman" w:cs="Times New Roman"/>
                <w:b/>
                <w:bCs/>
                <w:sz w:val="24"/>
                <w:szCs w:val="24"/>
                <w:lang w:val="en-US"/>
              </w:rPr>
              <w:t xml:space="preserve"> based on age groups </w:t>
            </w:r>
          </w:p>
          <w:p w14:paraId="4CD705B4" w14:textId="77777777" w:rsidR="00706CF6" w:rsidRDefault="00706CF6" w:rsidP="00706CF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60 to 69 years</w:t>
            </w:r>
          </w:p>
          <w:p w14:paraId="70029DB5" w14:textId="77777777" w:rsidR="00706CF6" w:rsidRDefault="00706CF6" w:rsidP="00706CF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70 to 79 years</w:t>
            </w:r>
          </w:p>
          <w:p w14:paraId="17655132" w14:textId="098CB5AA" w:rsidR="000732E5" w:rsidRPr="00706CF6" w:rsidRDefault="00706CF6" w:rsidP="00706CF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80 or more</w:t>
            </w:r>
          </w:p>
        </w:tc>
        <w:tc>
          <w:tcPr>
            <w:tcW w:w="3204" w:type="dxa"/>
            <w:tcBorders>
              <w:top w:val="nil"/>
              <w:left w:val="nil"/>
              <w:bottom w:val="nil"/>
              <w:right w:val="nil"/>
            </w:tcBorders>
          </w:tcPr>
          <w:p w14:paraId="2B0E992C" w14:textId="77777777" w:rsidR="003D6617" w:rsidRDefault="003D6617" w:rsidP="00E96E0B">
            <w:pPr>
              <w:rPr>
                <w:rFonts w:ascii="Times New Roman" w:hAnsi="Times New Roman" w:cs="Times New Roman"/>
                <w:sz w:val="24"/>
                <w:szCs w:val="24"/>
                <w:lang w:val="en-US"/>
              </w:rPr>
            </w:pPr>
          </w:p>
          <w:p w14:paraId="0C7E5F56" w14:textId="77777777" w:rsidR="00706CF6" w:rsidRDefault="00C513D4" w:rsidP="00E96E0B">
            <w:pPr>
              <w:rPr>
                <w:rFonts w:ascii="Times New Roman" w:hAnsi="Times New Roman" w:cs="Times New Roman"/>
                <w:sz w:val="24"/>
                <w:szCs w:val="24"/>
                <w:lang w:val="en-US"/>
              </w:rPr>
            </w:pPr>
            <w:r>
              <w:rPr>
                <w:rFonts w:ascii="Times New Roman" w:hAnsi="Times New Roman" w:cs="Times New Roman"/>
                <w:sz w:val="24"/>
                <w:szCs w:val="24"/>
                <w:lang w:val="en-US"/>
              </w:rPr>
              <w:t xml:space="preserve">8.48 ± </w:t>
            </w:r>
            <w:r w:rsidR="0098037E">
              <w:rPr>
                <w:rFonts w:ascii="Times New Roman" w:hAnsi="Times New Roman" w:cs="Times New Roman"/>
                <w:sz w:val="24"/>
                <w:szCs w:val="24"/>
                <w:lang w:val="en-US"/>
              </w:rPr>
              <w:t>1.88</w:t>
            </w:r>
          </w:p>
          <w:p w14:paraId="3ED0D9F6" w14:textId="77777777" w:rsidR="00706CF6" w:rsidRDefault="00706CF6" w:rsidP="00E96E0B">
            <w:pPr>
              <w:rPr>
                <w:rFonts w:ascii="Times New Roman" w:hAnsi="Times New Roman" w:cs="Times New Roman"/>
                <w:sz w:val="24"/>
                <w:szCs w:val="24"/>
                <w:lang w:val="en-US"/>
              </w:rPr>
            </w:pPr>
          </w:p>
          <w:p w14:paraId="34EB54A5" w14:textId="735FAC3D" w:rsidR="00552AD5" w:rsidRDefault="00552AD5" w:rsidP="00552AD5">
            <w:pPr>
              <w:rPr>
                <w:rFonts w:ascii="Times New Roman" w:hAnsi="Times New Roman" w:cs="Times New Roman"/>
                <w:sz w:val="24"/>
                <w:szCs w:val="24"/>
                <w:lang w:val="en-US"/>
              </w:rPr>
            </w:pPr>
            <w:r>
              <w:rPr>
                <w:rFonts w:ascii="Times New Roman" w:hAnsi="Times New Roman" w:cs="Times New Roman"/>
                <w:sz w:val="24"/>
                <w:szCs w:val="24"/>
                <w:lang w:val="en-US"/>
              </w:rPr>
              <w:t>8.3</w:t>
            </w:r>
            <w:r w:rsidR="0059444A">
              <w:rPr>
                <w:rFonts w:ascii="Times New Roman" w:hAnsi="Times New Roman" w:cs="Times New Roman"/>
                <w:sz w:val="24"/>
                <w:szCs w:val="24"/>
                <w:lang w:val="en-US"/>
              </w:rPr>
              <w:t>4</w:t>
            </w:r>
            <w:r>
              <w:rPr>
                <w:rFonts w:ascii="Times New Roman" w:hAnsi="Times New Roman" w:cs="Times New Roman"/>
                <w:sz w:val="24"/>
                <w:szCs w:val="24"/>
                <w:lang w:val="en-US"/>
              </w:rPr>
              <w:t xml:space="preserve"> ± 1.8</w:t>
            </w:r>
            <w:r w:rsidR="0059444A">
              <w:rPr>
                <w:rFonts w:ascii="Times New Roman" w:hAnsi="Times New Roman" w:cs="Times New Roman"/>
                <w:sz w:val="24"/>
                <w:szCs w:val="24"/>
                <w:lang w:val="en-US"/>
              </w:rPr>
              <w:t>3</w:t>
            </w:r>
          </w:p>
          <w:p w14:paraId="431B11DC" w14:textId="48718713" w:rsidR="00552AD5" w:rsidRDefault="00552AD5" w:rsidP="00552AD5">
            <w:pPr>
              <w:rPr>
                <w:rFonts w:ascii="Times New Roman" w:hAnsi="Times New Roman" w:cs="Times New Roman"/>
                <w:sz w:val="24"/>
                <w:szCs w:val="24"/>
                <w:lang w:val="en-US"/>
              </w:rPr>
            </w:pPr>
            <w:r>
              <w:rPr>
                <w:rFonts w:ascii="Times New Roman" w:hAnsi="Times New Roman" w:cs="Times New Roman"/>
                <w:sz w:val="24"/>
                <w:szCs w:val="24"/>
                <w:lang w:val="en-US"/>
              </w:rPr>
              <w:t>8.</w:t>
            </w:r>
            <w:r w:rsidR="0059444A">
              <w:rPr>
                <w:rFonts w:ascii="Times New Roman" w:hAnsi="Times New Roman" w:cs="Times New Roman"/>
                <w:sz w:val="24"/>
                <w:szCs w:val="24"/>
                <w:lang w:val="en-US"/>
              </w:rPr>
              <w:t>72</w:t>
            </w:r>
            <w:r>
              <w:rPr>
                <w:rFonts w:ascii="Times New Roman" w:hAnsi="Times New Roman" w:cs="Times New Roman"/>
                <w:sz w:val="24"/>
                <w:szCs w:val="24"/>
                <w:lang w:val="en-US"/>
              </w:rPr>
              <w:t xml:space="preserve"> ± </w:t>
            </w:r>
            <w:r w:rsidR="0059444A">
              <w:rPr>
                <w:rFonts w:ascii="Times New Roman" w:hAnsi="Times New Roman" w:cs="Times New Roman"/>
                <w:sz w:val="24"/>
                <w:szCs w:val="24"/>
                <w:lang w:val="en-US"/>
              </w:rPr>
              <w:t>2.03</w:t>
            </w:r>
          </w:p>
          <w:p w14:paraId="24E8B2B9" w14:textId="6FC5BC4E" w:rsidR="000732E5" w:rsidRDefault="00552AD5" w:rsidP="00E96E0B">
            <w:pPr>
              <w:rPr>
                <w:rFonts w:ascii="Times New Roman" w:hAnsi="Times New Roman" w:cs="Times New Roman"/>
                <w:sz w:val="24"/>
                <w:szCs w:val="24"/>
                <w:lang w:val="en-US"/>
              </w:rPr>
            </w:pPr>
            <w:r>
              <w:rPr>
                <w:rFonts w:ascii="Times New Roman" w:hAnsi="Times New Roman" w:cs="Times New Roman"/>
                <w:sz w:val="24"/>
                <w:szCs w:val="24"/>
                <w:lang w:val="en-US"/>
              </w:rPr>
              <w:t>8.</w:t>
            </w:r>
            <w:r w:rsidR="0059444A">
              <w:rPr>
                <w:rFonts w:ascii="Times New Roman" w:hAnsi="Times New Roman" w:cs="Times New Roman"/>
                <w:sz w:val="24"/>
                <w:szCs w:val="24"/>
                <w:lang w:val="en-US"/>
              </w:rPr>
              <w:t>33</w:t>
            </w:r>
            <w:r>
              <w:rPr>
                <w:rFonts w:ascii="Times New Roman" w:hAnsi="Times New Roman" w:cs="Times New Roman"/>
                <w:sz w:val="24"/>
                <w:szCs w:val="24"/>
                <w:lang w:val="en-US"/>
              </w:rPr>
              <w:t xml:space="preserve"> ± </w:t>
            </w:r>
            <w:r w:rsidR="0059444A">
              <w:rPr>
                <w:rFonts w:ascii="Times New Roman" w:hAnsi="Times New Roman" w:cs="Times New Roman"/>
                <w:sz w:val="24"/>
                <w:szCs w:val="24"/>
                <w:lang w:val="en-US"/>
              </w:rPr>
              <w:t>0.98</w:t>
            </w:r>
          </w:p>
        </w:tc>
      </w:tr>
      <w:tr w:rsidR="004064C7" w:rsidRPr="00901F54" w14:paraId="29B6A4FF" w14:textId="77777777" w:rsidTr="00685A03">
        <w:trPr>
          <w:trHeight w:val="1560"/>
        </w:trPr>
        <w:tc>
          <w:tcPr>
            <w:tcW w:w="5812" w:type="dxa"/>
            <w:tcBorders>
              <w:top w:val="nil"/>
              <w:left w:val="nil"/>
              <w:bottom w:val="nil"/>
              <w:right w:val="nil"/>
            </w:tcBorders>
          </w:tcPr>
          <w:p w14:paraId="0DA0EB39" w14:textId="77777777" w:rsidR="004064C7" w:rsidRDefault="004064C7" w:rsidP="004064C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Ten-year </w:t>
            </w:r>
            <w:r w:rsidR="004506C4">
              <w:rPr>
                <w:rFonts w:ascii="Times New Roman" w:hAnsi="Times New Roman" w:cs="Times New Roman"/>
                <w:b/>
                <w:bCs/>
                <w:sz w:val="24"/>
                <w:szCs w:val="24"/>
                <w:lang w:val="en-US"/>
              </w:rPr>
              <w:t>m</w:t>
            </w:r>
            <w:r>
              <w:rPr>
                <w:rFonts w:ascii="Times New Roman" w:hAnsi="Times New Roman" w:cs="Times New Roman"/>
                <w:b/>
                <w:bCs/>
                <w:sz w:val="24"/>
                <w:szCs w:val="24"/>
                <w:lang w:val="en-US"/>
              </w:rPr>
              <w:t xml:space="preserve">ortality </w:t>
            </w:r>
            <w:r w:rsidR="004506C4">
              <w:rPr>
                <w:rFonts w:ascii="Times New Roman" w:hAnsi="Times New Roman" w:cs="Times New Roman"/>
                <w:b/>
                <w:bCs/>
                <w:sz w:val="24"/>
                <w:szCs w:val="24"/>
                <w:lang w:val="en-US"/>
              </w:rPr>
              <w:t>percentage</w:t>
            </w:r>
          </w:p>
          <w:p w14:paraId="36BAE6D9" w14:textId="77777777" w:rsidR="00726EE9" w:rsidRPr="00726EE9" w:rsidRDefault="00726EE9" w:rsidP="00726EE9">
            <w:pPr>
              <w:ind w:left="720"/>
              <w:rPr>
                <w:rFonts w:ascii="Times New Roman" w:hAnsi="Times New Roman" w:cs="Times New Roman"/>
                <w:b/>
                <w:bCs/>
                <w:sz w:val="24"/>
                <w:szCs w:val="24"/>
                <w:lang w:val="en-US"/>
              </w:rPr>
            </w:pPr>
            <w:r w:rsidRPr="00726EE9">
              <w:rPr>
                <w:rFonts w:ascii="Times New Roman" w:hAnsi="Times New Roman" w:cs="Times New Roman"/>
                <w:b/>
                <w:bCs/>
                <w:sz w:val="24"/>
                <w:szCs w:val="24"/>
                <w:lang w:val="en-US"/>
              </w:rPr>
              <w:t xml:space="preserve">Distribution based on age groups </w:t>
            </w:r>
          </w:p>
          <w:p w14:paraId="3B36F297" w14:textId="77777777" w:rsidR="00726EE9" w:rsidRPr="00726EE9" w:rsidRDefault="00726EE9" w:rsidP="00726EE9">
            <w:pPr>
              <w:ind w:left="720"/>
              <w:rPr>
                <w:rFonts w:ascii="Times New Roman" w:hAnsi="Times New Roman" w:cs="Times New Roman"/>
                <w:sz w:val="24"/>
                <w:szCs w:val="24"/>
                <w:lang w:val="en-US"/>
              </w:rPr>
            </w:pPr>
            <w:r w:rsidRPr="00726EE9">
              <w:rPr>
                <w:rFonts w:ascii="Times New Roman" w:hAnsi="Times New Roman" w:cs="Times New Roman"/>
                <w:sz w:val="24"/>
                <w:szCs w:val="24"/>
                <w:lang w:val="en-US"/>
              </w:rPr>
              <w:t>a.</w:t>
            </w:r>
            <w:r w:rsidRPr="00726EE9">
              <w:rPr>
                <w:rFonts w:ascii="Times New Roman" w:hAnsi="Times New Roman" w:cs="Times New Roman"/>
                <w:sz w:val="24"/>
                <w:szCs w:val="24"/>
                <w:lang w:val="en-US"/>
              </w:rPr>
              <w:tab/>
              <w:t>60 to 69 years</w:t>
            </w:r>
          </w:p>
          <w:p w14:paraId="460569F0" w14:textId="77777777" w:rsidR="00726EE9" w:rsidRPr="00726EE9" w:rsidRDefault="00726EE9" w:rsidP="00726EE9">
            <w:pPr>
              <w:ind w:left="720"/>
              <w:rPr>
                <w:rFonts w:ascii="Times New Roman" w:hAnsi="Times New Roman" w:cs="Times New Roman"/>
                <w:sz w:val="24"/>
                <w:szCs w:val="24"/>
                <w:lang w:val="en-US"/>
              </w:rPr>
            </w:pPr>
            <w:r w:rsidRPr="00726EE9">
              <w:rPr>
                <w:rFonts w:ascii="Times New Roman" w:hAnsi="Times New Roman" w:cs="Times New Roman"/>
                <w:sz w:val="24"/>
                <w:szCs w:val="24"/>
                <w:lang w:val="en-US"/>
              </w:rPr>
              <w:t>b.</w:t>
            </w:r>
            <w:r w:rsidRPr="00726EE9">
              <w:rPr>
                <w:rFonts w:ascii="Times New Roman" w:hAnsi="Times New Roman" w:cs="Times New Roman"/>
                <w:sz w:val="24"/>
                <w:szCs w:val="24"/>
                <w:lang w:val="en-US"/>
              </w:rPr>
              <w:tab/>
              <w:t>70 to 79 years</w:t>
            </w:r>
          </w:p>
          <w:p w14:paraId="69156DA3" w14:textId="58BE0948" w:rsidR="00726EE9" w:rsidRDefault="00726EE9" w:rsidP="00726EE9">
            <w:pPr>
              <w:ind w:left="720"/>
              <w:rPr>
                <w:rFonts w:ascii="Times New Roman" w:hAnsi="Times New Roman" w:cs="Times New Roman"/>
                <w:b/>
                <w:bCs/>
                <w:sz w:val="24"/>
                <w:szCs w:val="24"/>
                <w:lang w:val="en-US"/>
              </w:rPr>
            </w:pPr>
            <w:r w:rsidRPr="00726EE9">
              <w:rPr>
                <w:rFonts w:ascii="Times New Roman" w:hAnsi="Times New Roman" w:cs="Times New Roman"/>
                <w:sz w:val="24"/>
                <w:szCs w:val="24"/>
                <w:lang w:val="en-US"/>
              </w:rPr>
              <w:t>c.</w:t>
            </w:r>
            <w:r w:rsidRPr="00726EE9">
              <w:rPr>
                <w:rFonts w:ascii="Times New Roman" w:hAnsi="Times New Roman" w:cs="Times New Roman"/>
                <w:sz w:val="24"/>
                <w:szCs w:val="24"/>
                <w:lang w:val="en-US"/>
              </w:rPr>
              <w:tab/>
              <w:t>80 or more</w:t>
            </w:r>
          </w:p>
        </w:tc>
        <w:tc>
          <w:tcPr>
            <w:tcW w:w="3204" w:type="dxa"/>
            <w:tcBorders>
              <w:top w:val="nil"/>
              <w:left w:val="nil"/>
              <w:bottom w:val="nil"/>
              <w:right w:val="nil"/>
            </w:tcBorders>
          </w:tcPr>
          <w:p w14:paraId="32016C51" w14:textId="77777777" w:rsidR="004064C7" w:rsidRDefault="004506C4" w:rsidP="004064C7">
            <w:pPr>
              <w:rPr>
                <w:rFonts w:ascii="Times New Roman" w:hAnsi="Times New Roman" w:cs="Times New Roman"/>
                <w:sz w:val="24"/>
                <w:szCs w:val="24"/>
                <w:lang w:val="en-US"/>
              </w:rPr>
            </w:pPr>
            <w:r>
              <w:rPr>
                <w:rFonts w:ascii="Times New Roman" w:hAnsi="Times New Roman" w:cs="Times New Roman"/>
                <w:sz w:val="24"/>
                <w:szCs w:val="24"/>
                <w:lang w:val="en-US"/>
              </w:rPr>
              <w:t xml:space="preserve">43.22 ± </w:t>
            </w:r>
            <w:r w:rsidR="00726EE9">
              <w:rPr>
                <w:rFonts w:ascii="Times New Roman" w:hAnsi="Times New Roman" w:cs="Times New Roman"/>
                <w:sz w:val="24"/>
                <w:szCs w:val="24"/>
                <w:lang w:val="en-US"/>
              </w:rPr>
              <w:t>23.96</w:t>
            </w:r>
          </w:p>
          <w:p w14:paraId="28873146" w14:textId="77777777" w:rsidR="00726EE9" w:rsidRDefault="00726EE9" w:rsidP="004064C7">
            <w:pPr>
              <w:rPr>
                <w:rFonts w:ascii="Times New Roman" w:hAnsi="Times New Roman" w:cs="Times New Roman"/>
                <w:sz w:val="24"/>
                <w:szCs w:val="24"/>
                <w:lang w:val="en-US"/>
              </w:rPr>
            </w:pPr>
          </w:p>
          <w:p w14:paraId="266FA434" w14:textId="77777777" w:rsidR="00726EE9" w:rsidRDefault="00BD3DAD" w:rsidP="004064C7">
            <w:pPr>
              <w:rPr>
                <w:rFonts w:ascii="Times New Roman" w:hAnsi="Times New Roman" w:cs="Times New Roman"/>
                <w:sz w:val="24"/>
                <w:szCs w:val="24"/>
                <w:lang w:val="en-US"/>
              </w:rPr>
            </w:pPr>
            <w:r>
              <w:rPr>
                <w:rFonts w:ascii="Times New Roman" w:hAnsi="Times New Roman" w:cs="Times New Roman"/>
                <w:sz w:val="24"/>
                <w:szCs w:val="24"/>
                <w:lang w:val="en-US"/>
              </w:rPr>
              <w:t>54.87 ± 23.14</w:t>
            </w:r>
          </w:p>
          <w:p w14:paraId="021EABD3" w14:textId="12C18259" w:rsidR="002477E5" w:rsidRDefault="002477E5" w:rsidP="004064C7">
            <w:pPr>
              <w:rPr>
                <w:rFonts w:ascii="Times New Roman" w:hAnsi="Times New Roman" w:cs="Times New Roman"/>
                <w:sz w:val="24"/>
                <w:szCs w:val="24"/>
                <w:lang w:val="en-US"/>
              </w:rPr>
            </w:pPr>
            <w:r>
              <w:rPr>
                <w:rFonts w:ascii="Times New Roman" w:hAnsi="Times New Roman" w:cs="Times New Roman"/>
                <w:sz w:val="24"/>
                <w:szCs w:val="24"/>
                <w:lang w:val="en-US"/>
              </w:rPr>
              <w:t xml:space="preserve">30.57 </w:t>
            </w:r>
            <w:r w:rsidR="004A57CE">
              <w:rPr>
                <w:rFonts w:ascii="Times New Roman" w:hAnsi="Times New Roman" w:cs="Times New Roman"/>
                <w:sz w:val="24"/>
                <w:szCs w:val="24"/>
                <w:lang w:val="en-US"/>
              </w:rPr>
              <w:t>± 21.3</w:t>
            </w:r>
          </w:p>
          <w:p w14:paraId="761BF5EE" w14:textId="01E5D59C" w:rsidR="002477E5" w:rsidRDefault="004A57CE" w:rsidP="004064C7">
            <w:pPr>
              <w:rPr>
                <w:rFonts w:ascii="Times New Roman" w:hAnsi="Times New Roman" w:cs="Times New Roman"/>
                <w:sz w:val="24"/>
                <w:szCs w:val="24"/>
                <w:lang w:val="en-US"/>
              </w:rPr>
            </w:pPr>
            <w:r>
              <w:rPr>
                <w:rFonts w:ascii="Times New Roman" w:hAnsi="Times New Roman" w:cs="Times New Roman"/>
                <w:sz w:val="24"/>
                <w:szCs w:val="24"/>
                <w:lang w:val="en-US"/>
              </w:rPr>
              <w:t>9.6 ± 9.97</w:t>
            </w:r>
          </w:p>
        </w:tc>
      </w:tr>
      <w:tr w:rsidR="00685A03" w:rsidRPr="00901F54" w14:paraId="4CAC8572" w14:textId="77777777" w:rsidTr="00B85EB5">
        <w:trPr>
          <w:trHeight w:val="702"/>
        </w:trPr>
        <w:tc>
          <w:tcPr>
            <w:tcW w:w="5812" w:type="dxa"/>
            <w:tcBorders>
              <w:top w:val="nil"/>
              <w:left w:val="nil"/>
              <w:bottom w:val="nil"/>
              <w:right w:val="nil"/>
            </w:tcBorders>
          </w:tcPr>
          <w:p w14:paraId="296361BC" w14:textId="20A88868" w:rsidR="00685A03" w:rsidRDefault="00685A03" w:rsidP="004064C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Rate of Polypharmacy </w:t>
            </w:r>
            <w:r w:rsidR="00790C61">
              <w:rPr>
                <w:rFonts w:ascii="Times New Roman" w:hAnsi="Times New Roman" w:cs="Times New Roman"/>
                <w:b/>
                <w:bCs/>
                <w:sz w:val="24"/>
                <w:szCs w:val="24"/>
                <w:lang w:val="en-US"/>
              </w:rPr>
              <w:t>(mean ± std)</w:t>
            </w:r>
          </w:p>
        </w:tc>
        <w:tc>
          <w:tcPr>
            <w:tcW w:w="3204" w:type="dxa"/>
            <w:tcBorders>
              <w:top w:val="nil"/>
              <w:left w:val="nil"/>
              <w:bottom w:val="nil"/>
              <w:right w:val="nil"/>
            </w:tcBorders>
          </w:tcPr>
          <w:p w14:paraId="64A94442" w14:textId="1A872E23" w:rsidR="00685A03" w:rsidRDefault="00CE5B7F" w:rsidP="004064C7">
            <w:pPr>
              <w:rPr>
                <w:rFonts w:ascii="Times New Roman" w:hAnsi="Times New Roman" w:cs="Times New Roman"/>
                <w:sz w:val="24"/>
                <w:szCs w:val="24"/>
                <w:lang w:val="en-US"/>
              </w:rPr>
            </w:pPr>
            <w:r>
              <w:rPr>
                <w:rFonts w:ascii="Times New Roman" w:hAnsi="Times New Roman" w:cs="Times New Roman"/>
                <w:sz w:val="24"/>
                <w:szCs w:val="24"/>
                <w:lang w:val="en-US"/>
              </w:rPr>
              <w:t>6.79 ±</w:t>
            </w:r>
            <w:r w:rsidR="008B19F9">
              <w:rPr>
                <w:rFonts w:ascii="Times New Roman" w:hAnsi="Times New Roman" w:cs="Times New Roman"/>
                <w:sz w:val="24"/>
                <w:szCs w:val="24"/>
                <w:lang w:val="en-US"/>
              </w:rPr>
              <w:t xml:space="preserve"> 1.61</w:t>
            </w:r>
          </w:p>
        </w:tc>
      </w:tr>
    </w:tbl>
    <w:p w14:paraId="7C2D7C99" w14:textId="6BFB6B69" w:rsidR="00B85EB5" w:rsidRDefault="00B85EB5" w:rsidP="00FC2165">
      <w:pPr>
        <w:pStyle w:val="Heading2"/>
        <w:rPr>
          <w:rFonts w:ascii="Times New Roman" w:hAnsi="Times New Roman" w:cs="Times New Roman"/>
          <w:sz w:val="24"/>
          <w:szCs w:val="24"/>
          <w:lang w:val="en-US"/>
        </w:rPr>
      </w:pPr>
    </w:p>
    <w:p w14:paraId="0C43F4F2" w14:textId="7AD5EE8C" w:rsidR="00612159" w:rsidRPr="00FC2165" w:rsidRDefault="00612159" w:rsidP="00FC2165">
      <w:pPr>
        <w:pStyle w:val="Heading2"/>
        <w:rPr>
          <w:rFonts w:ascii="Times New Roman" w:hAnsi="Times New Roman" w:cs="Times New Roman"/>
          <w:sz w:val="24"/>
          <w:szCs w:val="24"/>
          <w:lang w:val="en-US"/>
        </w:rPr>
      </w:pPr>
      <w:r w:rsidRPr="00FC2165">
        <w:rPr>
          <w:rFonts w:ascii="Times New Roman" w:hAnsi="Times New Roman" w:cs="Times New Roman"/>
          <w:sz w:val="24"/>
          <w:szCs w:val="24"/>
          <w:lang w:val="en-US"/>
        </w:rPr>
        <w:t xml:space="preserve">Table 3: Quality of Life </w:t>
      </w:r>
    </w:p>
    <w:tbl>
      <w:tblPr>
        <w:tblStyle w:val="TableGrid"/>
        <w:tblW w:w="0" w:type="auto"/>
        <w:tblInd w:w="-142" w:type="dxa"/>
        <w:tblLook w:val="04A0" w:firstRow="1" w:lastRow="0" w:firstColumn="1" w:lastColumn="0" w:noHBand="0" w:noVBand="1"/>
      </w:tblPr>
      <w:tblGrid>
        <w:gridCol w:w="3970"/>
        <w:gridCol w:w="3071"/>
        <w:gridCol w:w="2127"/>
      </w:tblGrid>
      <w:tr w:rsidR="00612159" w:rsidRPr="00901F54" w14:paraId="20174DD8" w14:textId="77777777" w:rsidTr="00E96E0B">
        <w:trPr>
          <w:trHeight w:val="423"/>
        </w:trPr>
        <w:tc>
          <w:tcPr>
            <w:tcW w:w="3970" w:type="dxa"/>
            <w:tcBorders>
              <w:left w:val="nil"/>
              <w:bottom w:val="single" w:sz="4" w:space="0" w:color="auto"/>
              <w:right w:val="nil"/>
            </w:tcBorders>
          </w:tcPr>
          <w:p w14:paraId="26189300" w14:textId="7A52628C" w:rsidR="00612159" w:rsidRPr="00901F54" w:rsidRDefault="00612159" w:rsidP="00E96E0B">
            <w:pPr>
              <w:rPr>
                <w:rFonts w:ascii="Times New Roman" w:hAnsi="Times New Roman" w:cs="Times New Roman"/>
                <w:b/>
                <w:bCs/>
                <w:sz w:val="24"/>
                <w:szCs w:val="24"/>
                <w:lang w:val="en-US"/>
              </w:rPr>
            </w:pPr>
            <w:r>
              <w:rPr>
                <w:rFonts w:ascii="Times New Roman" w:hAnsi="Times New Roman" w:cs="Times New Roman"/>
                <w:b/>
                <w:bCs/>
                <w:sz w:val="24"/>
                <w:szCs w:val="24"/>
                <w:lang w:val="en-US"/>
              </w:rPr>
              <w:t>Q</w:t>
            </w:r>
            <w:r w:rsidR="00FC2165">
              <w:rPr>
                <w:rFonts w:ascii="Times New Roman" w:hAnsi="Times New Roman" w:cs="Times New Roman"/>
                <w:b/>
                <w:bCs/>
                <w:sz w:val="24"/>
                <w:szCs w:val="24"/>
                <w:lang w:val="en-US"/>
              </w:rPr>
              <w:t>uality of Life</w:t>
            </w:r>
          </w:p>
        </w:tc>
        <w:tc>
          <w:tcPr>
            <w:tcW w:w="3071" w:type="dxa"/>
            <w:tcBorders>
              <w:left w:val="nil"/>
              <w:bottom w:val="single" w:sz="4" w:space="0" w:color="auto"/>
              <w:right w:val="nil"/>
            </w:tcBorders>
          </w:tcPr>
          <w:p w14:paraId="17CC2B7D" w14:textId="4078C3AF" w:rsidR="00612159" w:rsidRPr="00901F54" w:rsidRDefault="00CC1C39" w:rsidP="00E96E0B">
            <w:pPr>
              <w:rPr>
                <w:rFonts w:ascii="Times New Roman" w:hAnsi="Times New Roman" w:cs="Times New Roman"/>
                <w:b/>
                <w:bCs/>
                <w:sz w:val="24"/>
                <w:szCs w:val="24"/>
                <w:lang w:val="en-US"/>
              </w:rPr>
            </w:pPr>
            <w:r>
              <w:rPr>
                <w:rFonts w:ascii="Times New Roman" w:hAnsi="Times New Roman" w:cs="Times New Roman"/>
                <w:b/>
                <w:bCs/>
                <w:sz w:val="24"/>
                <w:szCs w:val="24"/>
                <w:lang w:val="en-US"/>
              </w:rPr>
              <w:t>Size</w:t>
            </w:r>
            <w:r w:rsidR="00612159">
              <w:rPr>
                <w:rFonts w:ascii="Times New Roman" w:hAnsi="Times New Roman" w:cs="Times New Roman"/>
                <w:b/>
                <w:bCs/>
                <w:sz w:val="24"/>
                <w:szCs w:val="24"/>
                <w:lang w:val="en-US"/>
              </w:rPr>
              <w:t xml:space="preserve"> </w:t>
            </w:r>
            <w:r w:rsidR="00FC2165">
              <w:rPr>
                <w:rFonts w:ascii="Times New Roman" w:hAnsi="Times New Roman" w:cs="Times New Roman"/>
                <w:b/>
                <w:bCs/>
                <w:sz w:val="24"/>
                <w:szCs w:val="24"/>
                <w:lang w:val="en-US"/>
              </w:rPr>
              <w:t xml:space="preserve">(N) </w:t>
            </w:r>
          </w:p>
        </w:tc>
        <w:tc>
          <w:tcPr>
            <w:tcW w:w="2127" w:type="dxa"/>
            <w:tcBorders>
              <w:left w:val="nil"/>
              <w:bottom w:val="single" w:sz="4" w:space="0" w:color="auto"/>
              <w:right w:val="nil"/>
            </w:tcBorders>
          </w:tcPr>
          <w:p w14:paraId="0EAD0EA3" w14:textId="77777777" w:rsidR="00612159" w:rsidRPr="00901F54" w:rsidRDefault="00612159" w:rsidP="00E96E0B">
            <w:pPr>
              <w:rPr>
                <w:rFonts w:ascii="Times New Roman" w:hAnsi="Times New Roman" w:cs="Times New Roman"/>
                <w:b/>
                <w:bCs/>
                <w:sz w:val="24"/>
                <w:szCs w:val="24"/>
                <w:lang w:val="en-US"/>
              </w:rPr>
            </w:pPr>
            <w:r>
              <w:rPr>
                <w:rFonts w:ascii="Times New Roman" w:hAnsi="Times New Roman" w:cs="Times New Roman"/>
                <w:b/>
                <w:bCs/>
                <w:sz w:val="24"/>
                <w:szCs w:val="24"/>
                <w:lang w:val="en-US"/>
              </w:rPr>
              <w:t>Percentage</w:t>
            </w:r>
          </w:p>
        </w:tc>
      </w:tr>
      <w:tr w:rsidR="00612159" w:rsidRPr="00901F54" w14:paraId="2BE797D7" w14:textId="77777777" w:rsidTr="00E96E0B">
        <w:trPr>
          <w:trHeight w:val="1195"/>
        </w:trPr>
        <w:tc>
          <w:tcPr>
            <w:tcW w:w="3970" w:type="dxa"/>
            <w:tcBorders>
              <w:top w:val="nil"/>
              <w:left w:val="nil"/>
              <w:bottom w:val="nil"/>
              <w:right w:val="nil"/>
            </w:tcBorders>
          </w:tcPr>
          <w:p w14:paraId="1FC054F6" w14:textId="5EFFDDA0" w:rsidR="00612159" w:rsidRDefault="00612159" w:rsidP="00E96E0B">
            <w:pPr>
              <w:rPr>
                <w:rFonts w:ascii="Times New Roman" w:hAnsi="Times New Roman" w:cs="Times New Roman"/>
                <w:sz w:val="24"/>
                <w:szCs w:val="24"/>
                <w:lang w:val="en-US"/>
              </w:rPr>
            </w:pPr>
            <w:r>
              <w:rPr>
                <w:rFonts w:ascii="Times New Roman" w:hAnsi="Times New Roman" w:cs="Times New Roman"/>
                <w:sz w:val="24"/>
                <w:szCs w:val="24"/>
                <w:lang w:val="en-US"/>
              </w:rPr>
              <w:t>Overall Q</w:t>
            </w:r>
            <w:r w:rsidR="00FC2165">
              <w:rPr>
                <w:rFonts w:ascii="Times New Roman" w:hAnsi="Times New Roman" w:cs="Times New Roman"/>
                <w:sz w:val="24"/>
                <w:szCs w:val="24"/>
                <w:lang w:val="en-US"/>
              </w:rPr>
              <w:t>oL</w:t>
            </w:r>
          </w:p>
          <w:p w14:paraId="30881F56" w14:textId="77777777" w:rsidR="00612159" w:rsidRDefault="00612159" w:rsidP="00FC2165">
            <w:pPr>
              <w:ind w:left="720"/>
              <w:rPr>
                <w:rFonts w:ascii="Times New Roman" w:hAnsi="Times New Roman" w:cs="Times New Roman"/>
                <w:sz w:val="24"/>
                <w:szCs w:val="24"/>
                <w:lang w:val="en-US"/>
              </w:rPr>
            </w:pPr>
            <w:r>
              <w:rPr>
                <w:rFonts w:ascii="Times New Roman" w:hAnsi="Times New Roman" w:cs="Times New Roman"/>
                <w:sz w:val="24"/>
                <w:szCs w:val="24"/>
                <w:lang w:val="en-US"/>
              </w:rPr>
              <w:t>Good (0 – 90)</w:t>
            </w:r>
          </w:p>
          <w:p w14:paraId="7BBA4B28" w14:textId="180D0CD5" w:rsidR="00612159" w:rsidRPr="00901F54" w:rsidRDefault="00612159" w:rsidP="00225FC9">
            <w:pPr>
              <w:ind w:left="720"/>
              <w:rPr>
                <w:rFonts w:ascii="Times New Roman" w:hAnsi="Times New Roman" w:cs="Times New Roman"/>
                <w:sz w:val="24"/>
                <w:szCs w:val="24"/>
                <w:lang w:val="en-US"/>
              </w:rPr>
            </w:pPr>
            <w:r>
              <w:rPr>
                <w:rFonts w:ascii="Times New Roman" w:hAnsi="Times New Roman" w:cs="Times New Roman"/>
                <w:sz w:val="24"/>
                <w:szCs w:val="24"/>
                <w:lang w:val="en-US"/>
              </w:rPr>
              <w:t>Poor (90 – 175)</w:t>
            </w:r>
          </w:p>
        </w:tc>
        <w:tc>
          <w:tcPr>
            <w:tcW w:w="3071" w:type="dxa"/>
            <w:tcBorders>
              <w:top w:val="nil"/>
              <w:left w:val="nil"/>
              <w:bottom w:val="nil"/>
              <w:right w:val="nil"/>
            </w:tcBorders>
          </w:tcPr>
          <w:p w14:paraId="34E24048" w14:textId="77777777" w:rsidR="00612159" w:rsidRDefault="00612159" w:rsidP="00E96E0B">
            <w:pPr>
              <w:rPr>
                <w:rFonts w:ascii="Times New Roman" w:hAnsi="Times New Roman" w:cs="Times New Roman"/>
                <w:sz w:val="24"/>
                <w:szCs w:val="24"/>
                <w:lang w:val="en-US"/>
              </w:rPr>
            </w:pPr>
          </w:p>
          <w:p w14:paraId="66C8E2A5" w14:textId="77777777" w:rsidR="00612159" w:rsidRDefault="00612159" w:rsidP="00E96E0B">
            <w:pPr>
              <w:rPr>
                <w:rFonts w:ascii="Times New Roman" w:hAnsi="Times New Roman" w:cs="Times New Roman"/>
                <w:sz w:val="24"/>
                <w:szCs w:val="24"/>
                <w:lang w:val="en-US"/>
              </w:rPr>
            </w:pPr>
            <w:r>
              <w:rPr>
                <w:rFonts w:ascii="Times New Roman" w:hAnsi="Times New Roman" w:cs="Times New Roman"/>
                <w:sz w:val="24"/>
                <w:szCs w:val="24"/>
                <w:lang w:val="en-US"/>
              </w:rPr>
              <w:t>95</w:t>
            </w:r>
          </w:p>
          <w:p w14:paraId="43ABC1A3" w14:textId="77777777" w:rsidR="00612159" w:rsidRPr="00901F54" w:rsidRDefault="00612159" w:rsidP="00E96E0B">
            <w:pPr>
              <w:rPr>
                <w:rFonts w:ascii="Times New Roman" w:hAnsi="Times New Roman" w:cs="Times New Roman"/>
                <w:sz w:val="24"/>
                <w:szCs w:val="24"/>
                <w:lang w:val="en-US"/>
              </w:rPr>
            </w:pPr>
            <w:r>
              <w:rPr>
                <w:rFonts w:ascii="Times New Roman" w:hAnsi="Times New Roman" w:cs="Times New Roman"/>
                <w:sz w:val="24"/>
                <w:szCs w:val="24"/>
                <w:lang w:val="en-US"/>
              </w:rPr>
              <w:t>220</w:t>
            </w:r>
          </w:p>
        </w:tc>
        <w:tc>
          <w:tcPr>
            <w:tcW w:w="2127" w:type="dxa"/>
            <w:tcBorders>
              <w:top w:val="nil"/>
              <w:left w:val="nil"/>
              <w:bottom w:val="nil"/>
              <w:right w:val="nil"/>
            </w:tcBorders>
          </w:tcPr>
          <w:p w14:paraId="2F30610F" w14:textId="77777777" w:rsidR="00612159" w:rsidRDefault="00612159" w:rsidP="00E96E0B">
            <w:pPr>
              <w:rPr>
                <w:rFonts w:ascii="Times New Roman" w:hAnsi="Times New Roman" w:cs="Times New Roman"/>
                <w:sz w:val="24"/>
                <w:szCs w:val="24"/>
                <w:lang w:val="en-US"/>
              </w:rPr>
            </w:pPr>
          </w:p>
          <w:p w14:paraId="6E0843EE" w14:textId="77777777" w:rsidR="00612159" w:rsidRDefault="00612159" w:rsidP="00E96E0B">
            <w:pPr>
              <w:rPr>
                <w:rFonts w:ascii="Times New Roman" w:hAnsi="Times New Roman" w:cs="Times New Roman"/>
                <w:sz w:val="24"/>
                <w:szCs w:val="24"/>
                <w:lang w:val="en-US"/>
              </w:rPr>
            </w:pPr>
            <w:r>
              <w:rPr>
                <w:rFonts w:ascii="Times New Roman" w:hAnsi="Times New Roman" w:cs="Times New Roman"/>
                <w:sz w:val="24"/>
                <w:szCs w:val="24"/>
                <w:lang w:val="en-US"/>
              </w:rPr>
              <w:t>30.15 %</w:t>
            </w:r>
          </w:p>
          <w:p w14:paraId="4E22E63D" w14:textId="77777777" w:rsidR="00612159" w:rsidRDefault="00612159" w:rsidP="00E96E0B">
            <w:pPr>
              <w:rPr>
                <w:rFonts w:ascii="Times New Roman" w:hAnsi="Times New Roman" w:cs="Times New Roman"/>
                <w:sz w:val="24"/>
                <w:szCs w:val="24"/>
                <w:lang w:val="en-US"/>
              </w:rPr>
            </w:pPr>
            <w:r>
              <w:rPr>
                <w:rFonts w:ascii="Times New Roman" w:hAnsi="Times New Roman" w:cs="Times New Roman"/>
                <w:sz w:val="24"/>
                <w:szCs w:val="24"/>
                <w:lang w:val="en-US"/>
              </w:rPr>
              <w:t xml:space="preserve">69.85 % </w:t>
            </w:r>
          </w:p>
        </w:tc>
      </w:tr>
      <w:tr w:rsidR="00D81566" w:rsidRPr="00901F54" w14:paraId="64C9595B" w14:textId="77777777" w:rsidTr="00E96E0B">
        <w:trPr>
          <w:trHeight w:val="1195"/>
        </w:trPr>
        <w:tc>
          <w:tcPr>
            <w:tcW w:w="3970" w:type="dxa"/>
            <w:tcBorders>
              <w:top w:val="nil"/>
              <w:left w:val="nil"/>
              <w:bottom w:val="nil"/>
              <w:right w:val="nil"/>
            </w:tcBorders>
          </w:tcPr>
          <w:p w14:paraId="363BBF58" w14:textId="3F1DE592" w:rsidR="00D81566" w:rsidRDefault="00D81566" w:rsidP="00D81566">
            <w:pPr>
              <w:rPr>
                <w:rFonts w:ascii="Times New Roman" w:hAnsi="Times New Roman" w:cs="Times New Roman"/>
                <w:sz w:val="24"/>
                <w:szCs w:val="24"/>
                <w:lang w:val="en-US"/>
              </w:rPr>
            </w:pPr>
            <w:r>
              <w:rPr>
                <w:rFonts w:ascii="Times New Roman" w:hAnsi="Times New Roman" w:cs="Times New Roman"/>
                <w:sz w:val="24"/>
                <w:szCs w:val="24"/>
                <w:lang w:val="en-US"/>
              </w:rPr>
              <w:lastRenderedPageBreak/>
              <w:t>Medication Related QoL</w:t>
            </w:r>
          </w:p>
          <w:p w14:paraId="2D286983" w14:textId="07EE8707" w:rsidR="00D81566" w:rsidRDefault="00D81566" w:rsidP="00D81566">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Good (0 – </w:t>
            </w:r>
            <w:r w:rsidR="00BF5913">
              <w:rPr>
                <w:rFonts w:ascii="Times New Roman" w:hAnsi="Times New Roman" w:cs="Times New Roman"/>
                <w:sz w:val="24"/>
                <w:szCs w:val="24"/>
                <w:lang w:val="en-US"/>
              </w:rPr>
              <w:t>3</w:t>
            </w:r>
            <w:r w:rsidR="00BD3713">
              <w:rPr>
                <w:rFonts w:ascii="Times New Roman" w:hAnsi="Times New Roman" w:cs="Times New Roman"/>
                <w:sz w:val="24"/>
                <w:szCs w:val="24"/>
                <w:lang w:val="en-US"/>
              </w:rPr>
              <w:t>6</w:t>
            </w:r>
            <w:r>
              <w:rPr>
                <w:rFonts w:ascii="Times New Roman" w:hAnsi="Times New Roman" w:cs="Times New Roman"/>
                <w:sz w:val="24"/>
                <w:szCs w:val="24"/>
                <w:lang w:val="en-US"/>
              </w:rPr>
              <w:t>)</w:t>
            </w:r>
          </w:p>
          <w:p w14:paraId="76B6FC4F" w14:textId="0B7C2531" w:rsidR="00D81566" w:rsidRDefault="00D81566" w:rsidP="00D81566">
            <w:pPr>
              <w:ind w:left="720"/>
              <w:rPr>
                <w:rFonts w:ascii="Times New Roman" w:hAnsi="Times New Roman" w:cs="Times New Roman"/>
                <w:sz w:val="24"/>
                <w:szCs w:val="24"/>
                <w:lang w:val="en-US"/>
              </w:rPr>
            </w:pPr>
            <w:r>
              <w:rPr>
                <w:rFonts w:ascii="Times New Roman" w:hAnsi="Times New Roman" w:cs="Times New Roman"/>
                <w:sz w:val="24"/>
                <w:szCs w:val="24"/>
                <w:lang w:val="en-US"/>
              </w:rPr>
              <w:t>Poor (</w:t>
            </w:r>
            <w:r w:rsidR="00BD3713">
              <w:rPr>
                <w:rFonts w:ascii="Times New Roman" w:hAnsi="Times New Roman" w:cs="Times New Roman"/>
                <w:sz w:val="24"/>
                <w:szCs w:val="24"/>
                <w:lang w:val="en-US"/>
              </w:rPr>
              <w:t>37</w:t>
            </w:r>
            <w:r>
              <w:rPr>
                <w:rFonts w:ascii="Times New Roman" w:hAnsi="Times New Roman" w:cs="Times New Roman"/>
                <w:sz w:val="24"/>
                <w:szCs w:val="24"/>
                <w:lang w:val="en-US"/>
              </w:rPr>
              <w:t xml:space="preserve"> – 75)</w:t>
            </w:r>
          </w:p>
        </w:tc>
        <w:tc>
          <w:tcPr>
            <w:tcW w:w="3071" w:type="dxa"/>
            <w:tcBorders>
              <w:top w:val="nil"/>
              <w:left w:val="nil"/>
              <w:bottom w:val="nil"/>
              <w:right w:val="nil"/>
            </w:tcBorders>
          </w:tcPr>
          <w:p w14:paraId="683D9B36" w14:textId="77777777" w:rsidR="00D81566" w:rsidRDefault="00D81566" w:rsidP="00D81566">
            <w:pPr>
              <w:rPr>
                <w:rFonts w:ascii="Times New Roman" w:hAnsi="Times New Roman" w:cs="Times New Roman"/>
                <w:sz w:val="24"/>
                <w:szCs w:val="24"/>
                <w:lang w:val="en-US"/>
              </w:rPr>
            </w:pPr>
          </w:p>
          <w:p w14:paraId="1E784ABA" w14:textId="56CB3661" w:rsidR="00D81566" w:rsidRDefault="00020F69" w:rsidP="00D81566">
            <w:pPr>
              <w:rPr>
                <w:rFonts w:ascii="Times New Roman" w:hAnsi="Times New Roman" w:cs="Times New Roman"/>
                <w:sz w:val="24"/>
                <w:szCs w:val="24"/>
                <w:lang w:val="en-US"/>
              </w:rPr>
            </w:pPr>
            <w:r>
              <w:rPr>
                <w:rFonts w:ascii="Times New Roman" w:hAnsi="Times New Roman" w:cs="Times New Roman"/>
                <w:sz w:val="24"/>
                <w:szCs w:val="24"/>
                <w:lang w:val="en-US"/>
              </w:rPr>
              <w:t>32</w:t>
            </w:r>
          </w:p>
          <w:p w14:paraId="64FA50EB" w14:textId="606884C8" w:rsidR="00D81566" w:rsidRDefault="00D81566" w:rsidP="00D81566">
            <w:pPr>
              <w:rPr>
                <w:rFonts w:ascii="Times New Roman" w:hAnsi="Times New Roman" w:cs="Times New Roman"/>
                <w:sz w:val="24"/>
                <w:szCs w:val="24"/>
                <w:lang w:val="en-US"/>
              </w:rPr>
            </w:pPr>
            <w:r>
              <w:rPr>
                <w:rFonts w:ascii="Times New Roman" w:hAnsi="Times New Roman" w:cs="Times New Roman"/>
                <w:sz w:val="24"/>
                <w:szCs w:val="24"/>
                <w:lang w:val="en-US"/>
              </w:rPr>
              <w:t>2</w:t>
            </w:r>
            <w:r w:rsidR="00335E5E">
              <w:rPr>
                <w:rFonts w:ascii="Times New Roman" w:hAnsi="Times New Roman" w:cs="Times New Roman"/>
                <w:sz w:val="24"/>
                <w:szCs w:val="24"/>
                <w:lang w:val="en-US"/>
              </w:rPr>
              <w:t>83</w:t>
            </w:r>
          </w:p>
        </w:tc>
        <w:tc>
          <w:tcPr>
            <w:tcW w:w="2127" w:type="dxa"/>
            <w:tcBorders>
              <w:top w:val="nil"/>
              <w:left w:val="nil"/>
              <w:bottom w:val="nil"/>
              <w:right w:val="nil"/>
            </w:tcBorders>
          </w:tcPr>
          <w:p w14:paraId="7141AD0D" w14:textId="77777777" w:rsidR="00D81566" w:rsidRDefault="00D81566" w:rsidP="00D81566">
            <w:pPr>
              <w:rPr>
                <w:rFonts w:ascii="Times New Roman" w:hAnsi="Times New Roman" w:cs="Times New Roman"/>
                <w:sz w:val="24"/>
                <w:szCs w:val="24"/>
                <w:lang w:val="en-US"/>
              </w:rPr>
            </w:pPr>
          </w:p>
          <w:p w14:paraId="7F98CE18" w14:textId="1E952AC0" w:rsidR="00D81566" w:rsidRDefault="00020F69" w:rsidP="00D81566">
            <w:pPr>
              <w:rPr>
                <w:rFonts w:ascii="Times New Roman" w:hAnsi="Times New Roman" w:cs="Times New Roman"/>
                <w:sz w:val="24"/>
                <w:szCs w:val="24"/>
                <w:lang w:val="en-US"/>
              </w:rPr>
            </w:pPr>
            <w:r>
              <w:rPr>
                <w:rFonts w:ascii="Times New Roman" w:hAnsi="Times New Roman" w:cs="Times New Roman"/>
                <w:sz w:val="24"/>
                <w:szCs w:val="24"/>
                <w:lang w:val="en-US"/>
              </w:rPr>
              <w:t>10</w:t>
            </w:r>
            <w:r w:rsidR="00D81566">
              <w:rPr>
                <w:rFonts w:ascii="Times New Roman" w:hAnsi="Times New Roman" w:cs="Times New Roman"/>
                <w:sz w:val="24"/>
                <w:szCs w:val="24"/>
                <w:lang w:val="en-US"/>
              </w:rPr>
              <w:t>.15 %</w:t>
            </w:r>
          </w:p>
          <w:p w14:paraId="71FF28B3" w14:textId="2F20E7FF" w:rsidR="00D81566" w:rsidRDefault="00335E5E" w:rsidP="00D81566">
            <w:pPr>
              <w:rPr>
                <w:rFonts w:ascii="Times New Roman" w:hAnsi="Times New Roman" w:cs="Times New Roman"/>
                <w:sz w:val="24"/>
                <w:szCs w:val="24"/>
                <w:lang w:val="en-US"/>
              </w:rPr>
            </w:pPr>
            <w:r>
              <w:rPr>
                <w:rFonts w:ascii="Times New Roman" w:hAnsi="Times New Roman" w:cs="Times New Roman"/>
                <w:sz w:val="24"/>
                <w:szCs w:val="24"/>
                <w:lang w:val="en-US"/>
              </w:rPr>
              <w:t>8</w:t>
            </w:r>
            <w:r w:rsidR="00D81566">
              <w:rPr>
                <w:rFonts w:ascii="Times New Roman" w:hAnsi="Times New Roman" w:cs="Times New Roman"/>
                <w:sz w:val="24"/>
                <w:szCs w:val="24"/>
                <w:lang w:val="en-US"/>
              </w:rPr>
              <w:t xml:space="preserve">9.85 % </w:t>
            </w:r>
          </w:p>
        </w:tc>
      </w:tr>
    </w:tbl>
    <w:p w14:paraId="7005881C" w14:textId="7FF7BF64" w:rsidR="00612159" w:rsidRDefault="00612159">
      <w:pPr>
        <w:rPr>
          <w:rFonts w:ascii="Times New Roman" w:hAnsi="Times New Roman" w:cs="Times New Roman"/>
          <w:sz w:val="24"/>
          <w:szCs w:val="24"/>
          <w:lang w:val="en-US"/>
        </w:rPr>
      </w:pPr>
    </w:p>
    <w:p w14:paraId="5E766599" w14:textId="18E016A0" w:rsidR="003141E7" w:rsidRDefault="003141E7" w:rsidP="003141E7">
      <w:pPr>
        <w:pStyle w:val="Heading2"/>
        <w:rPr>
          <w:rFonts w:ascii="Times New Roman" w:hAnsi="Times New Roman" w:cs="Times New Roman"/>
          <w:sz w:val="24"/>
          <w:szCs w:val="24"/>
          <w:lang w:val="en-US"/>
        </w:rPr>
      </w:pPr>
      <w:r w:rsidRPr="003141E7">
        <w:rPr>
          <w:rFonts w:ascii="Times New Roman" w:hAnsi="Times New Roman" w:cs="Times New Roman"/>
          <w:sz w:val="24"/>
          <w:szCs w:val="24"/>
          <w:lang w:val="en-US"/>
        </w:rPr>
        <w:t>Conclusion</w:t>
      </w:r>
    </w:p>
    <w:p w14:paraId="67D0C97F" w14:textId="5E85713B" w:rsidR="003141E7" w:rsidRPr="00E96E0B" w:rsidRDefault="003141E7" w:rsidP="003141E7">
      <w:pPr>
        <w:rPr>
          <w:rFonts w:ascii="Times New Roman" w:hAnsi="Times New Roman" w:cs="Times New Roman"/>
          <w:sz w:val="24"/>
          <w:szCs w:val="24"/>
          <w:lang w:val="en-US"/>
        </w:rPr>
      </w:pPr>
      <w:r w:rsidRPr="00E96E0B">
        <w:rPr>
          <w:rFonts w:ascii="Times New Roman" w:hAnsi="Times New Roman" w:cs="Times New Roman"/>
          <w:sz w:val="24"/>
          <w:szCs w:val="24"/>
          <w:lang w:val="en-US"/>
        </w:rPr>
        <w:t>Results obtained from various statistical analysis and indicators from scoring Medication Related Quality of Life</w:t>
      </w:r>
      <w:r w:rsidR="00E96E0B">
        <w:rPr>
          <w:rFonts w:ascii="Times New Roman" w:hAnsi="Times New Roman" w:cs="Times New Roman"/>
          <w:sz w:val="24"/>
          <w:szCs w:val="24"/>
          <w:lang w:val="en-US"/>
        </w:rPr>
        <w:t xml:space="preserve"> (</w:t>
      </w:r>
      <w:proofErr w:type="spellStart"/>
      <w:r w:rsidR="00E96E0B">
        <w:rPr>
          <w:rFonts w:ascii="Times New Roman" w:hAnsi="Times New Roman" w:cs="Times New Roman"/>
          <w:sz w:val="24"/>
          <w:szCs w:val="24"/>
          <w:lang w:val="en-US"/>
        </w:rPr>
        <w:t>MRQoL</w:t>
      </w:r>
      <w:proofErr w:type="spellEnd"/>
      <w:r w:rsidR="00E96E0B">
        <w:rPr>
          <w:rFonts w:ascii="Times New Roman" w:hAnsi="Times New Roman" w:cs="Times New Roman"/>
          <w:sz w:val="24"/>
          <w:szCs w:val="24"/>
          <w:lang w:val="en-US"/>
        </w:rPr>
        <w:t>)</w:t>
      </w:r>
      <w:r w:rsidRPr="00E96E0B">
        <w:rPr>
          <w:rFonts w:ascii="Times New Roman" w:hAnsi="Times New Roman" w:cs="Times New Roman"/>
          <w:sz w:val="24"/>
          <w:szCs w:val="24"/>
          <w:lang w:val="en-US"/>
        </w:rPr>
        <w:t xml:space="preserve"> as well as Health Related Quality of Life</w:t>
      </w:r>
      <w:r w:rsidR="00E96E0B">
        <w:rPr>
          <w:rFonts w:ascii="Times New Roman" w:hAnsi="Times New Roman" w:cs="Times New Roman"/>
          <w:sz w:val="24"/>
          <w:szCs w:val="24"/>
          <w:lang w:val="en-US"/>
        </w:rPr>
        <w:t xml:space="preserve"> (</w:t>
      </w:r>
      <w:proofErr w:type="spellStart"/>
      <w:r w:rsidR="00E96E0B">
        <w:rPr>
          <w:rFonts w:ascii="Times New Roman" w:hAnsi="Times New Roman" w:cs="Times New Roman"/>
          <w:sz w:val="24"/>
          <w:szCs w:val="24"/>
          <w:lang w:val="en-US"/>
        </w:rPr>
        <w:t>HRQoL</w:t>
      </w:r>
      <w:proofErr w:type="spellEnd"/>
      <w:r w:rsidR="00E96E0B">
        <w:rPr>
          <w:rFonts w:ascii="Times New Roman" w:hAnsi="Times New Roman" w:cs="Times New Roman"/>
          <w:sz w:val="24"/>
          <w:szCs w:val="24"/>
          <w:lang w:val="en-US"/>
        </w:rPr>
        <w:t>)</w:t>
      </w:r>
      <w:r w:rsidRPr="00E96E0B">
        <w:rPr>
          <w:rFonts w:ascii="Times New Roman" w:hAnsi="Times New Roman" w:cs="Times New Roman"/>
          <w:sz w:val="24"/>
          <w:szCs w:val="24"/>
          <w:lang w:val="en-US"/>
        </w:rPr>
        <w:t xml:space="preserve"> points toward detrimental effect of polypharmacy overall. </w:t>
      </w:r>
    </w:p>
    <w:p w14:paraId="090DC8CC" w14:textId="4F2B392F" w:rsidR="003141E7" w:rsidRPr="00E96E0B" w:rsidRDefault="003141E7" w:rsidP="003141E7">
      <w:pPr>
        <w:pStyle w:val="ListParagraph"/>
        <w:numPr>
          <w:ilvl w:val="0"/>
          <w:numId w:val="6"/>
        </w:numPr>
        <w:rPr>
          <w:rFonts w:ascii="Times New Roman" w:hAnsi="Times New Roman" w:cs="Times New Roman"/>
          <w:sz w:val="24"/>
          <w:szCs w:val="24"/>
          <w:lang w:val="en-US"/>
        </w:rPr>
      </w:pPr>
      <w:r w:rsidRPr="00E96E0B">
        <w:rPr>
          <w:rFonts w:ascii="Times New Roman" w:hAnsi="Times New Roman" w:cs="Times New Roman"/>
          <w:sz w:val="24"/>
          <w:szCs w:val="24"/>
          <w:lang w:val="en-US"/>
        </w:rPr>
        <w:t xml:space="preserve">Increase in symptoms burden in 65.4 % of patients i.e. 206 patients have shown overall increase in symptoms after polypharmacy. </w:t>
      </w:r>
    </w:p>
    <w:p w14:paraId="483D9977" w14:textId="3E27C93B" w:rsidR="003141E7" w:rsidRPr="00E96E0B" w:rsidRDefault="003141E7" w:rsidP="003141E7">
      <w:pPr>
        <w:pStyle w:val="ListParagraph"/>
        <w:numPr>
          <w:ilvl w:val="0"/>
          <w:numId w:val="6"/>
        </w:numPr>
        <w:rPr>
          <w:rFonts w:ascii="Times New Roman" w:hAnsi="Times New Roman" w:cs="Times New Roman"/>
          <w:sz w:val="24"/>
          <w:szCs w:val="24"/>
          <w:lang w:val="en-US"/>
        </w:rPr>
      </w:pPr>
      <w:r w:rsidRPr="00E96E0B">
        <w:rPr>
          <w:rFonts w:ascii="Times New Roman" w:hAnsi="Times New Roman" w:cs="Times New Roman"/>
          <w:sz w:val="24"/>
          <w:szCs w:val="24"/>
          <w:lang w:val="en-US"/>
        </w:rPr>
        <w:t xml:space="preserve">Survival percentage over ten years has been significantly reduced for patients with higher Comorbidity Polypharmacy Score. </w:t>
      </w:r>
    </w:p>
    <w:p w14:paraId="175FB8F9" w14:textId="1BBC0497" w:rsidR="003141E7" w:rsidRPr="00E96E0B" w:rsidRDefault="003141E7" w:rsidP="003141E7">
      <w:pPr>
        <w:pStyle w:val="ListParagraph"/>
        <w:numPr>
          <w:ilvl w:val="0"/>
          <w:numId w:val="6"/>
        </w:numPr>
        <w:rPr>
          <w:rFonts w:ascii="Times New Roman" w:hAnsi="Times New Roman" w:cs="Times New Roman"/>
          <w:sz w:val="24"/>
          <w:szCs w:val="24"/>
          <w:lang w:val="en-US"/>
        </w:rPr>
      </w:pPr>
      <w:r w:rsidRPr="00E96E0B">
        <w:rPr>
          <w:rFonts w:ascii="Times New Roman" w:hAnsi="Times New Roman" w:cs="Times New Roman"/>
          <w:sz w:val="24"/>
          <w:szCs w:val="24"/>
          <w:lang w:val="en-US"/>
        </w:rPr>
        <w:t xml:space="preserve">Overall Quality of Life </w:t>
      </w:r>
      <w:r w:rsidR="00E96E0B" w:rsidRPr="00E96E0B">
        <w:rPr>
          <w:rFonts w:ascii="Times New Roman" w:hAnsi="Times New Roman" w:cs="Times New Roman"/>
          <w:sz w:val="24"/>
          <w:szCs w:val="24"/>
          <w:lang w:val="en-US"/>
        </w:rPr>
        <w:t>recorded to be poor for 69.85 % of sample as a result of polypharmacy.</w:t>
      </w:r>
    </w:p>
    <w:p w14:paraId="1708D72B" w14:textId="4055C7F0" w:rsidR="00E96E0B" w:rsidRDefault="00E96E0B" w:rsidP="00E96E0B">
      <w:pPr>
        <w:rPr>
          <w:rFonts w:ascii="Times New Roman" w:hAnsi="Times New Roman" w:cs="Times New Roman"/>
          <w:sz w:val="24"/>
          <w:szCs w:val="24"/>
          <w:lang w:val="en-US"/>
        </w:rPr>
      </w:pPr>
      <w:r>
        <w:rPr>
          <w:rFonts w:ascii="Times New Roman" w:hAnsi="Times New Roman" w:cs="Times New Roman"/>
          <w:sz w:val="24"/>
          <w:szCs w:val="24"/>
          <w:lang w:val="en-US"/>
        </w:rPr>
        <w:t xml:space="preserve">CPS </w:t>
      </w:r>
      <w:r w:rsidRPr="00E96E0B">
        <w:rPr>
          <w:rFonts w:ascii="Times New Roman" w:hAnsi="Times New Roman" w:cs="Times New Roman"/>
          <w:sz w:val="24"/>
          <w:szCs w:val="24"/>
          <w:lang w:val="en-US"/>
        </w:rPr>
        <w:t xml:space="preserve">was the independent predictors for severe impairment in </w:t>
      </w:r>
      <w:proofErr w:type="spellStart"/>
      <w:r w:rsidRPr="00E96E0B">
        <w:rPr>
          <w:rFonts w:ascii="Times New Roman" w:hAnsi="Times New Roman" w:cs="Times New Roman"/>
          <w:sz w:val="24"/>
          <w:szCs w:val="24"/>
          <w:lang w:val="en-US"/>
        </w:rPr>
        <w:t>MRQoL</w:t>
      </w:r>
      <w:proofErr w:type="spellEnd"/>
      <w:r w:rsidRPr="00E96E0B">
        <w:rPr>
          <w:rFonts w:ascii="Times New Roman" w:hAnsi="Times New Roman" w:cs="Times New Roman"/>
          <w:sz w:val="24"/>
          <w:szCs w:val="24"/>
          <w:lang w:val="en-US"/>
        </w:rPr>
        <w:t>. This study needs further investigation to see the correlation between independent variables and dependent outcomes.</w:t>
      </w:r>
    </w:p>
    <w:p w14:paraId="35E4246B" w14:textId="659A8D7B" w:rsidR="00E96E0B" w:rsidRPr="00E96E0B" w:rsidRDefault="00E96E0B" w:rsidP="00E96E0B">
      <w:pPr>
        <w:pStyle w:val="Heading2"/>
        <w:rPr>
          <w:rFonts w:ascii="Times New Roman" w:hAnsi="Times New Roman" w:cs="Times New Roman"/>
          <w:sz w:val="24"/>
          <w:szCs w:val="24"/>
          <w:lang w:val="en-US"/>
        </w:rPr>
      </w:pPr>
      <w:r w:rsidRPr="00E96E0B">
        <w:rPr>
          <w:rFonts w:ascii="Times New Roman" w:hAnsi="Times New Roman" w:cs="Times New Roman"/>
          <w:sz w:val="24"/>
          <w:szCs w:val="24"/>
          <w:lang w:val="en-US"/>
        </w:rPr>
        <w:t xml:space="preserve">Future Scope and Improvement in Study </w:t>
      </w:r>
    </w:p>
    <w:p w14:paraId="75329932" w14:textId="3D6EAC10" w:rsidR="00E96E0B" w:rsidRPr="00E96E0B" w:rsidRDefault="00E96E0B" w:rsidP="00E96E0B">
      <w:pPr>
        <w:rPr>
          <w:rFonts w:ascii="Times New Roman" w:hAnsi="Times New Roman" w:cs="Times New Roman"/>
          <w:sz w:val="24"/>
          <w:szCs w:val="24"/>
          <w:lang w:val="en-US"/>
        </w:rPr>
      </w:pPr>
      <w:r>
        <w:rPr>
          <w:rFonts w:ascii="Times New Roman" w:hAnsi="Times New Roman" w:cs="Times New Roman"/>
          <w:sz w:val="24"/>
          <w:szCs w:val="24"/>
          <w:lang w:val="en-US"/>
        </w:rPr>
        <w:t xml:space="preserve">The effects of individual drugs and combination of drugs over quality of life can be studied. The risk factors for various age groups and combination of comorbidities with specific drugs could yield cause and effect correlation for impairment of </w:t>
      </w:r>
      <w:proofErr w:type="spellStart"/>
      <w:r>
        <w:rPr>
          <w:rFonts w:ascii="Times New Roman" w:hAnsi="Times New Roman" w:cs="Times New Roman"/>
          <w:sz w:val="24"/>
          <w:szCs w:val="24"/>
          <w:lang w:val="en-US"/>
        </w:rPr>
        <w:t>MRQoL</w:t>
      </w:r>
      <w:proofErr w:type="spellEnd"/>
      <w:r>
        <w:rPr>
          <w:rFonts w:ascii="Times New Roman" w:hAnsi="Times New Roman" w:cs="Times New Roman"/>
          <w:sz w:val="24"/>
          <w:szCs w:val="24"/>
          <w:lang w:val="en-US"/>
        </w:rPr>
        <w:t xml:space="preserve">. </w:t>
      </w:r>
    </w:p>
    <w:sectPr w:rsidR="00E96E0B" w:rsidRPr="00E96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A54DE"/>
    <w:multiLevelType w:val="hybridMultilevel"/>
    <w:tmpl w:val="27C0602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46A008A"/>
    <w:multiLevelType w:val="hybridMultilevel"/>
    <w:tmpl w:val="C428E648"/>
    <w:lvl w:ilvl="0" w:tplc="AC4C4C4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55480F"/>
    <w:multiLevelType w:val="hybridMultilevel"/>
    <w:tmpl w:val="5AF008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A47D23"/>
    <w:multiLevelType w:val="hybridMultilevel"/>
    <w:tmpl w:val="18C0E68E"/>
    <w:lvl w:ilvl="0" w:tplc="9440E95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A24B37"/>
    <w:multiLevelType w:val="hybridMultilevel"/>
    <w:tmpl w:val="9740066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5C92436"/>
    <w:multiLevelType w:val="hybridMultilevel"/>
    <w:tmpl w:val="B6C682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D1"/>
    <w:rsid w:val="00015EB9"/>
    <w:rsid w:val="00020F69"/>
    <w:rsid w:val="00036B7C"/>
    <w:rsid w:val="000732E5"/>
    <w:rsid w:val="000A180D"/>
    <w:rsid w:val="000A7C9F"/>
    <w:rsid w:val="000C6756"/>
    <w:rsid w:val="00185F01"/>
    <w:rsid w:val="001A56B1"/>
    <w:rsid w:val="001E516F"/>
    <w:rsid w:val="001E686E"/>
    <w:rsid w:val="00225FC9"/>
    <w:rsid w:val="002477E5"/>
    <w:rsid w:val="00307C53"/>
    <w:rsid w:val="003141E7"/>
    <w:rsid w:val="00335E5E"/>
    <w:rsid w:val="00342636"/>
    <w:rsid w:val="00397245"/>
    <w:rsid w:val="003A16EE"/>
    <w:rsid w:val="003A5BD1"/>
    <w:rsid w:val="003A6595"/>
    <w:rsid w:val="003D6617"/>
    <w:rsid w:val="003F2A2F"/>
    <w:rsid w:val="004064C7"/>
    <w:rsid w:val="00407D51"/>
    <w:rsid w:val="00431D4F"/>
    <w:rsid w:val="004506C4"/>
    <w:rsid w:val="00463368"/>
    <w:rsid w:val="00481228"/>
    <w:rsid w:val="004A575F"/>
    <w:rsid w:val="004A57CE"/>
    <w:rsid w:val="004B4A84"/>
    <w:rsid w:val="00523BAE"/>
    <w:rsid w:val="00552AD5"/>
    <w:rsid w:val="00590E8B"/>
    <w:rsid w:val="0059444A"/>
    <w:rsid w:val="005B3A14"/>
    <w:rsid w:val="005F0CEC"/>
    <w:rsid w:val="005F1EA7"/>
    <w:rsid w:val="0060214C"/>
    <w:rsid w:val="00612159"/>
    <w:rsid w:val="00670481"/>
    <w:rsid w:val="00685A03"/>
    <w:rsid w:val="006A380D"/>
    <w:rsid w:val="00706CF6"/>
    <w:rsid w:val="007236AC"/>
    <w:rsid w:val="00726EE9"/>
    <w:rsid w:val="0073344C"/>
    <w:rsid w:val="00757E7B"/>
    <w:rsid w:val="007800E3"/>
    <w:rsid w:val="00790C61"/>
    <w:rsid w:val="007F7B88"/>
    <w:rsid w:val="008003F7"/>
    <w:rsid w:val="008044D6"/>
    <w:rsid w:val="00832494"/>
    <w:rsid w:val="00893534"/>
    <w:rsid w:val="008B19F9"/>
    <w:rsid w:val="008D6A22"/>
    <w:rsid w:val="008E330F"/>
    <w:rsid w:val="0094573C"/>
    <w:rsid w:val="00957CB9"/>
    <w:rsid w:val="00962A4D"/>
    <w:rsid w:val="0098037E"/>
    <w:rsid w:val="00991613"/>
    <w:rsid w:val="009C43A0"/>
    <w:rsid w:val="00A013F9"/>
    <w:rsid w:val="00A02382"/>
    <w:rsid w:val="00A02DE3"/>
    <w:rsid w:val="00B124E9"/>
    <w:rsid w:val="00B40997"/>
    <w:rsid w:val="00B6692B"/>
    <w:rsid w:val="00B700F4"/>
    <w:rsid w:val="00B85EB5"/>
    <w:rsid w:val="00B90840"/>
    <w:rsid w:val="00BA6992"/>
    <w:rsid w:val="00BD3713"/>
    <w:rsid w:val="00BD3DAD"/>
    <w:rsid w:val="00BF4478"/>
    <w:rsid w:val="00BF5913"/>
    <w:rsid w:val="00C03BB1"/>
    <w:rsid w:val="00C128D9"/>
    <w:rsid w:val="00C27E74"/>
    <w:rsid w:val="00C43C26"/>
    <w:rsid w:val="00C513D4"/>
    <w:rsid w:val="00C54FE9"/>
    <w:rsid w:val="00C7719F"/>
    <w:rsid w:val="00CB4578"/>
    <w:rsid w:val="00CC1C39"/>
    <w:rsid w:val="00CE34F4"/>
    <w:rsid w:val="00CE5B7F"/>
    <w:rsid w:val="00CF5782"/>
    <w:rsid w:val="00CF61C6"/>
    <w:rsid w:val="00D56040"/>
    <w:rsid w:val="00D81566"/>
    <w:rsid w:val="00DA0427"/>
    <w:rsid w:val="00DA3C2F"/>
    <w:rsid w:val="00DC78F0"/>
    <w:rsid w:val="00DF371A"/>
    <w:rsid w:val="00E00FB0"/>
    <w:rsid w:val="00E07FBF"/>
    <w:rsid w:val="00E57DA4"/>
    <w:rsid w:val="00E8382D"/>
    <w:rsid w:val="00E96E0B"/>
    <w:rsid w:val="00ED57FC"/>
    <w:rsid w:val="00F13AA3"/>
    <w:rsid w:val="00F20AF2"/>
    <w:rsid w:val="00F8260D"/>
    <w:rsid w:val="00FC2165"/>
    <w:rsid w:val="00FD6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A209"/>
  <w15:chartTrackingRefBased/>
  <w15:docId w15:val="{6DF6C509-3DAA-49FC-AF80-AC7E0D62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A18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1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180D"/>
    <w:pPr>
      <w:ind w:left="720"/>
      <w:contextualSpacing/>
    </w:pPr>
  </w:style>
  <w:style w:type="character" w:customStyle="1" w:styleId="Heading2Char">
    <w:name w:val="Heading 2 Char"/>
    <w:basedOn w:val="DefaultParagraphFont"/>
    <w:link w:val="Heading2"/>
    <w:uiPriority w:val="9"/>
    <w:rsid w:val="000A18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672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Cha94</b:Tag>
    <b:SourceType>JournalArticle</b:SourceType>
    <b:Guid>{6CA2861C-2F8E-4F19-981D-9FA123C0BFAF}</b:Guid>
    <b:Title>Validation of a combined comorbidity index</b:Title>
    <b:Year>1994</b:Year>
    <b:JournalName>Journal of clinical epidemiology</b:JournalName>
    <b:Pages>47(11):1245–51</b:Pages>
    <b:Author>
      <b:Author>
        <b:NameList>
          <b:Person>
            <b:Last>Charlson </b:Last>
            <b:First>M</b:First>
          </b:Person>
          <b:Person>
            <b:Last>Szatrowsk</b:Last>
            <b:First>TP</b:First>
          </b:Person>
          <b:Person>
            <b:Last>Peterson </b:Last>
            <b:First>J</b:First>
          </b:Person>
          <b:Person>
            <b:Last>Gold </b:Last>
            <b:First>J</b:First>
          </b:Person>
        </b:NameList>
      </b:Author>
    </b:Author>
    <b:RefOrder>1</b:RefOrder>
  </b:Source>
</b:Sources>
</file>

<file path=customXml/itemProps1.xml><?xml version="1.0" encoding="utf-8"?>
<ds:datastoreItem xmlns:ds="http://schemas.openxmlformats.org/officeDocument/2006/customXml" ds:itemID="{5F65649A-C78C-4481-B4F2-F0012FC64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3</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Boppana</dc:creator>
  <cp:keywords/>
  <dc:description/>
  <cp:lastModifiedBy>Siddhartha  Boppana</cp:lastModifiedBy>
  <cp:revision>107</cp:revision>
  <dcterms:created xsi:type="dcterms:W3CDTF">2020-06-11T23:31:00Z</dcterms:created>
  <dcterms:modified xsi:type="dcterms:W3CDTF">2020-06-12T02:50:00Z</dcterms:modified>
</cp:coreProperties>
</file>