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F1" w:rsidRPr="005D71F1" w:rsidRDefault="005D71F1" w:rsidP="005D71F1">
      <w:pPr>
        <w:pStyle w:val="Standard"/>
        <w:ind w:firstLine="0"/>
        <w:jc w:val="center"/>
        <w:rPr>
          <w:rFonts w:eastAsia="Times New Roman" w:cs="Times New Roman"/>
          <w:b/>
          <w:sz w:val="28"/>
          <w:szCs w:val="28"/>
        </w:rPr>
      </w:pPr>
      <w:r w:rsidRPr="005D71F1">
        <w:rPr>
          <w:rFonts w:eastAsia="Times New Roman" w:cs="Times New Roman"/>
          <w:b/>
          <w:sz w:val="28"/>
          <w:szCs w:val="28"/>
        </w:rPr>
        <w:t>ПРАВИТЕЛЬСТВО РОССИЙСКОЙ ФЕДЕРАЦИИ</w:t>
      </w:r>
    </w:p>
    <w:p w:rsidR="005D71F1" w:rsidRPr="005D71F1" w:rsidRDefault="005D71F1" w:rsidP="005D71F1">
      <w:pPr>
        <w:pStyle w:val="Standard"/>
        <w:ind w:firstLine="0"/>
        <w:jc w:val="center"/>
        <w:rPr>
          <w:rFonts w:eastAsia="Times New Roman" w:cs="Times New Roman"/>
          <w:b/>
          <w:sz w:val="28"/>
          <w:szCs w:val="28"/>
        </w:rPr>
      </w:pPr>
      <w:r w:rsidRPr="005D71F1">
        <w:rPr>
          <w:rFonts w:eastAsia="Times New Roman" w:cs="Times New Roman"/>
          <w:b/>
          <w:sz w:val="28"/>
          <w:szCs w:val="28"/>
        </w:rPr>
        <w:t>ФЕДЕРАЛЬНОЕ ГОСУДАРСТВЕННОЕ АВТОНОМНОЕ ОБРАЗОВАТЕЛЬНОЕ УЧРЕЖДЕНИЕ</w:t>
      </w:r>
    </w:p>
    <w:p w:rsidR="005D71F1" w:rsidRPr="005D71F1" w:rsidRDefault="005D71F1" w:rsidP="005D71F1">
      <w:pPr>
        <w:pStyle w:val="Standard"/>
        <w:ind w:firstLine="0"/>
        <w:jc w:val="center"/>
        <w:rPr>
          <w:rFonts w:eastAsia="Times New Roman" w:cs="Times New Roman"/>
          <w:b/>
          <w:sz w:val="28"/>
          <w:szCs w:val="28"/>
        </w:rPr>
      </w:pPr>
      <w:r w:rsidRPr="005D71F1">
        <w:rPr>
          <w:rFonts w:eastAsia="Times New Roman" w:cs="Times New Roman"/>
          <w:b/>
          <w:sz w:val="28"/>
          <w:szCs w:val="28"/>
        </w:rPr>
        <w:t>ВЫСШЕГО ОБРАЗОВАНИЯ</w:t>
      </w:r>
    </w:p>
    <w:p w:rsidR="005D71F1" w:rsidRPr="005D71F1" w:rsidRDefault="005D71F1" w:rsidP="005D71F1">
      <w:pPr>
        <w:pStyle w:val="Standard"/>
        <w:ind w:firstLine="0"/>
        <w:jc w:val="center"/>
        <w:rPr>
          <w:rFonts w:eastAsia="Times New Roman" w:cs="Times New Roman"/>
          <w:b/>
          <w:sz w:val="28"/>
          <w:szCs w:val="28"/>
        </w:rPr>
      </w:pPr>
      <w:r w:rsidRPr="005D71F1">
        <w:rPr>
          <w:rFonts w:eastAsia="Times New Roman" w:cs="Times New Roman"/>
          <w:b/>
          <w:sz w:val="28"/>
          <w:szCs w:val="28"/>
        </w:rPr>
        <w:t>«НАЦИОНАЛЬНЫЙ ИССЛЕДОВАТЕЛЬСКИЙ УНИВЕРСИТЕТ</w:t>
      </w:r>
    </w:p>
    <w:p w:rsidR="00CA619E" w:rsidRPr="005D71F1" w:rsidRDefault="005D71F1" w:rsidP="005D71F1">
      <w:pPr>
        <w:pStyle w:val="Standard"/>
        <w:ind w:firstLine="0"/>
        <w:jc w:val="center"/>
      </w:pPr>
      <w:r w:rsidRPr="005D71F1">
        <w:rPr>
          <w:rFonts w:eastAsia="Times New Roman" w:cs="Times New Roman"/>
          <w:b/>
          <w:sz w:val="28"/>
          <w:szCs w:val="28"/>
        </w:rPr>
        <w:t>“ВЫСШАЯ ШКОЛА ЭКОНОМИКИ” »</w:t>
      </w:r>
    </w:p>
    <w:p w:rsidR="00CA619E" w:rsidRDefault="00F00263">
      <w:pPr>
        <w:pStyle w:val="Standard"/>
        <w:jc w:val="center"/>
      </w:pP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</w:rPr>
        <w:t xml:space="preserve">  </w:t>
      </w:r>
    </w:p>
    <w:p w:rsidR="00CA619E" w:rsidRDefault="00F00263">
      <w:pPr>
        <w:pStyle w:val="Standard"/>
        <w:jc w:val="center"/>
      </w:pPr>
      <w:r>
        <w:rPr>
          <w:rFonts w:eastAsia="Times New Roman" w:cs="Times New Roman"/>
          <w:sz w:val="28"/>
          <w:szCs w:val="28"/>
        </w:rPr>
        <w:t xml:space="preserve"> </w:t>
      </w:r>
    </w:p>
    <w:p w:rsidR="00CA619E" w:rsidRPr="00F06ED5" w:rsidRDefault="00F00263">
      <w:pPr>
        <w:pStyle w:val="Standard"/>
        <w:jc w:val="center"/>
        <w:rPr>
          <w:rFonts w:eastAsia="Times New Roman" w:cs="Times New Roman"/>
          <w:b/>
          <w:sz w:val="28"/>
          <w:szCs w:val="28"/>
          <w:shd w:val="clear" w:color="auto" w:fill="FFFFFF"/>
        </w:rPr>
      </w:pPr>
      <w:r>
        <w:rPr>
          <w:rFonts w:eastAsia="Times New Roman" w:cs="Times New Roman"/>
          <w:b/>
          <w:sz w:val="28"/>
          <w:szCs w:val="28"/>
          <w:shd w:val="clear" w:color="auto" w:fill="FFFFFF"/>
        </w:rPr>
        <w:t>Домашняя работа №1</w:t>
      </w:r>
    </w:p>
    <w:p w:rsidR="005D71F1" w:rsidRPr="005D71F1" w:rsidRDefault="005D71F1">
      <w:pPr>
        <w:pStyle w:val="Standard"/>
        <w:jc w:val="center"/>
      </w:pPr>
      <w:r>
        <w:rPr>
          <w:rFonts w:eastAsia="Times New Roman" w:cs="Times New Roman"/>
          <w:b/>
          <w:sz w:val="28"/>
          <w:szCs w:val="28"/>
          <w:shd w:val="clear" w:color="auto" w:fill="FFFFFF"/>
        </w:rPr>
        <w:t>Прямое и обратное преобразование Фурье</w:t>
      </w:r>
    </w:p>
    <w:p w:rsidR="00CA619E" w:rsidRDefault="00F00263">
      <w:pPr>
        <w:pStyle w:val="Standard"/>
        <w:spacing w:after="120" w:line="240" w:lineRule="auto"/>
        <w:ind w:firstLine="420"/>
        <w:jc w:val="center"/>
      </w:pPr>
      <w:r>
        <w:rPr>
          <w:rFonts w:eastAsia="Times New Roman" w:cs="Times New Roman"/>
          <w:sz w:val="28"/>
          <w:szCs w:val="28"/>
          <w:shd w:val="clear" w:color="auto" w:fill="FFFFFF"/>
        </w:rPr>
        <w:t>по курсу «Математический компьютерный практикум»</w:t>
      </w:r>
    </w:p>
    <w:p w:rsidR="00CA619E" w:rsidRDefault="00CA619E">
      <w:pPr>
        <w:pStyle w:val="Standard"/>
        <w:jc w:val="center"/>
        <w:rPr>
          <w:rFonts w:ascii="Arial" w:hAnsi="Arial"/>
          <w:sz w:val="28"/>
          <w:szCs w:val="28"/>
        </w:rPr>
      </w:pPr>
    </w:p>
    <w:p w:rsidR="00CA619E" w:rsidRDefault="00F00263">
      <w:pPr>
        <w:pStyle w:val="Standard"/>
        <w:jc w:val="center"/>
      </w:pPr>
      <w:r>
        <w:rPr>
          <w:sz w:val="28"/>
          <w:szCs w:val="28"/>
        </w:rPr>
        <w:t xml:space="preserve"> </w:t>
      </w:r>
    </w:p>
    <w:p w:rsidR="00CA619E" w:rsidRDefault="00F00263">
      <w:pPr>
        <w:pStyle w:val="Standard"/>
        <w:spacing w:after="120" w:line="240" w:lineRule="auto"/>
        <w:ind w:firstLine="420"/>
        <w:jc w:val="center"/>
      </w:pPr>
      <w:r>
        <w:rPr>
          <w:rFonts w:eastAsia="Times New Roman" w:cs="Times New Roman"/>
          <w:sz w:val="32"/>
          <w:szCs w:val="32"/>
        </w:rPr>
        <w:t xml:space="preserve"> </w:t>
      </w:r>
    </w:p>
    <w:p w:rsidR="00CA619E" w:rsidRDefault="00F00263">
      <w:pPr>
        <w:pStyle w:val="Standard"/>
        <w:spacing w:after="120" w:line="240" w:lineRule="auto"/>
        <w:ind w:firstLine="420"/>
        <w:jc w:val="center"/>
      </w:pPr>
      <w:r>
        <w:rPr>
          <w:rFonts w:eastAsia="Times New Roman" w:cs="Times New Roman"/>
          <w:sz w:val="32"/>
          <w:szCs w:val="32"/>
        </w:rPr>
        <w:t xml:space="preserve"> </w:t>
      </w:r>
    </w:p>
    <w:p w:rsidR="00CA619E" w:rsidRDefault="00F00263">
      <w:pPr>
        <w:pStyle w:val="Standard"/>
        <w:spacing w:after="120" w:line="240" w:lineRule="auto"/>
        <w:ind w:firstLine="420"/>
        <w:jc w:val="center"/>
      </w:pPr>
      <w:r>
        <w:rPr>
          <w:rFonts w:eastAsia="Times New Roman" w:cs="Times New Roman"/>
          <w:sz w:val="28"/>
          <w:szCs w:val="28"/>
          <w:shd w:val="clear" w:color="auto" w:fill="FFFFFF"/>
        </w:rPr>
        <w:t xml:space="preserve"> </w:t>
      </w:r>
    </w:p>
    <w:p w:rsidR="00CA619E" w:rsidRDefault="00CA619E">
      <w:pPr>
        <w:pStyle w:val="Standard"/>
        <w:spacing w:after="120" w:line="240" w:lineRule="auto"/>
        <w:ind w:firstLine="420"/>
        <w:jc w:val="center"/>
        <w:rPr>
          <w:rFonts w:eastAsia="Times New Roman" w:cs="Times New Roman"/>
          <w:sz w:val="28"/>
          <w:szCs w:val="28"/>
          <w:shd w:val="clear" w:color="auto" w:fill="FFFFFF"/>
        </w:rPr>
      </w:pPr>
    </w:p>
    <w:p w:rsidR="00CA619E" w:rsidRDefault="00F00263" w:rsidP="005D71F1">
      <w:pPr>
        <w:pStyle w:val="Standard"/>
        <w:spacing w:after="120" w:line="240" w:lineRule="auto"/>
        <w:ind w:left="5954" w:firstLine="0"/>
        <w:jc w:val="left"/>
      </w:pPr>
      <w:r>
        <w:rPr>
          <w:rFonts w:eastAsia="Times New Roman" w:cs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>
        <w:rPr>
          <w:rFonts w:eastAsia="Times New Roman" w:cs="Times New Roman"/>
          <w:sz w:val="28"/>
          <w:szCs w:val="28"/>
          <w:shd w:val="clear" w:color="auto" w:fill="FFFFFF"/>
        </w:rPr>
        <w:t>Жалкова</w:t>
      </w:r>
      <w:proofErr w:type="spellEnd"/>
      <w:r>
        <w:rPr>
          <w:rFonts w:eastAsia="Times New Roman" w:cs="Times New Roman"/>
          <w:sz w:val="28"/>
          <w:szCs w:val="28"/>
          <w:shd w:val="clear" w:color="auto" w:fill="FFFFFF"/>
        </w:rPr>
        <w:t xml:space="preserve"> Н.Е.</w:t>
      </w:r>
    </w:p>
    <w:p w:rsidR="00CA619E" w:rsidRDefault="00F00263" w:rsidP="005D71F1">
      <w:pPr>
        <w:pStyle w:val="Standard"/>
        <w:spacing w:after="120" w:line="240" w:lineRule="auto"/>
        <w:ind w:left="5954" w:firstLine="0"/>
        <w:jc w:val="left"/>
      </w:pPr>
      <w:r>
        <w:rPr>
          <w:rFonts w:eastAsia="Times New Roman" w:cs="Times New Roman"/>
          <w:sz w:val="28"/>
          <w:szCs w:val="28"/>
          <w:shd w:val="clear" w:color="auto" w:fill="FFFFFF"/>
        </w:rPr>
        <w:t>Группа: БИВ-151-1</w:t>
      </w:r>
    </w:p>
    <w:p w:rsidR="00CA619E" w:rsidRDefault="00F00263" w:rsidP="005D71F1">
      <w:pPr>
        <w:pStyle w:val="Standard"/>
        <w:spacing w:after="120" w:line="240" w:lineRule="auto"/>
        <w:ind w:left="5954" w:firstLine="0"/>
        <w:jc w:val="left"/>
      </w:pPr>
      <w:r>
        <w:rPr>
          <w:rFonts w:eastAsia="Times New Roman" w:cs="Times New Roman"/>
          <w:sz w:val="28"/>
          <w:szCs w:val="28"/>
          <w:shd w:val="clear" w:color="auto" w:fill="FFFFFF"/>
        </w:rPr>
        <w:t xml:space="preserve">Принял: </w:t>
      </w:r>
      <w:proofErr w:type="spellStart"/>
      <w:r>
        <w:rPr>
          <w:rFonts w:eastAsia="Times New Roman" w:cs="Times New Roman"/>
          <w:sz w:val="28"/>
          <w:szCs w:val="28"/>
          <w:shd w:val="clear" w:color="auto" w:fill="FFFFFF"/>
        </w:rPr>
        <w:t>Чурков</w:t>
      </w:r>
      <w:proofErr w:type="spellEnd"/>
      <w:r>
        <w:rPr>
          <w:rFonts w:eastAsia="Times New Roman" w:cs="Times New Roman"/>
          <w:sz w:val="28"/>
          <w:szCs w:val="28"/>
          <w:shd w:val="clear" w:color="auto" w:fill="FFFFFF"/>
        </w:rPr>
        <w:t xml:space="preserve"> В.М.</w:t>
      </w:r>
    </w:p>
    <w:p w:rsidR="00CA619E" w:rsidRDefault="00CA619E">
      <w:pPr>
        <w:pStyle w:val="Standard"/>
        <w:spacing w:after="120" w:line="240" w:lineRule="auto"/>
        <w:ind w:firstLine="420"/>
        <w:jc w:val="right"/>
        <w:rPr>
          <w:rFonts w:eastAsia="Times New Roman" w:cs="Times New Roman"/>
          <w:sz w:val="28"/>
          <w:szCs w:val="28"/>
          <w:shd w:val="clear" w:color="auto" w:fill="FFFFFF"/>
        </w:rPr>
      </w:pPr>
    </w:p>
    <w:p w:rsidR="00CA619E" w:rsidRDefault="00CA619E">
      <w:pPr>
        <w:pStyle w:val="Standard"/>
        <w:spacing w:after="120" w:line="240" w:lineRule="auto"/>
        <w:ind w:firstLine="420"/>
        <w:jc w:val="right"/>
        <w:rPr>
          <w:rFonts w:eastAsia="Times New Roman" w:cs="Times New Roman"/>
          <w:sz w:val="28"/>
          <w:szCs w:val="28"/>
          <w:shd w:val="clear" w:color="auto" w:fill="FFFFFF"/>
        </w:rPr>
      </w:pPr>
    </w:p>
    <w:p w:rsidR="00CA619E" w:rsidRPr="00F06ED5" w:rsidRDefault="00CA619E">
      <w:pPr>
        <w:pStyle w:val="Standard"/>
        <w:spacing w:after="120" w:line="240" w:lineRule="auto"/>
        <w:ind w:firstLine="420"/>
        <w:jc w:val="right"/>
        <w:rPr>
          <w:rFonts w:eastAsia="Times New Roman" w:cs="Times New Roman"/>
          <w:sz w:val="28"/>
          <w:szCs w:val="28"/>
          <w:shd w:val="clear" w:color="auto" w:fill="FFFFFF"/>
        </w:rPr>
      </w:pPr>
    </w:p>
    <w:p w:rsidR="005D71F1" w:rsidRPr="00F06ED5" w:rsidRDefault="005D71F1">
      <w:pPr>
        <w:pStyle w:val="Standard"/>
        <w:spacing w:after="120" w:line="240" w:lineRule="auto"/>
        <w:ind w:firstLine="420"/>
        <w:jc w:val="right"/>
        <w:rPr>
          <w:rFonts w:eastAsia="Times New Roman" w:cs="Times New Roman"/>
          <w:sz w:val="28"/>
          <w:szCs w:val="28"/>
          <w:shd w:val="clear" w:color="auto" w:fill="FFFFFF"/>
        </w:rPr>
      </w:pPr>
    </w:p>
    <w:p w:rsidR="005D71F1" w:rsidRPr="00F06ED5" w:rsidRDefault="005D71F1">
      <w:pPr>
        <w:pStyle w:val="Standard"/>
        <w:spacing w:after="120" w:line="240" w:lineRule="auto"/>
        <w:ind w:firstLine="420"/>
        <w:jc w:val="right"/>
        <w:rPr>
          <w:rFonts w:eastAsia="Times New Roman" w:cs="Times New Roman"/>
          <w:sz w:val="28"/>
          <w:szCs w:val="28"/>
          <w:shd w:val="clear" w:color="auto" w:fill="FFFFFF"/>
        </w:rPr>
      </w:pPr>
    </w:p>
    <w:p w:rsidR="005D71F1" w:rsidRPr="00F06ED5" w:rsidRDefault="005D71F1">
      <w:pPr>
        <w:pStyle w:val="Standard"/>
        <w:spacing w:after="120" w:line="240" w:lineRule="auto"/>
        <w:ind w:firstLine="420"/>
        <w:jc w:val="right"/>
        <w:rPr>
          <w:rFonts w:eastAsia="Times New Roman" w:cs="Times New Roman"/>
          <w:sz w:val="28"/>
          <w:szCs w:val="28"/>
          <w:shd w:val="clear" w:color="auto" w:fill="FFFFFF"/>
        </w:rPr>
      </w:pPr>
    </w:p>
    <w:p w:rsidR="00CA619E" w:rsidRDefault="00CA619E">
      <w:pPr>
        <w:pStyle w:val="Standard"/>
        <w:spacing w:after="120" w:line="240" w:lineRule="auto"/>
        <w:ind w:firstLine="420"/>
        <w:jc w:val="right"/>
        <w:rPr>
          <w:rFonts w:eastAsia="Times New Roman" w:cs="Times New Roman"/>
          <w:sz w:val="28"/>
          <w:szCs w:val="28"/>
          <w:shd w:val="clear" w:color="auto" w:fill="FFFFFF"/>
        </w:rPr>
      </w:pPr>
    </w:p>
    <w:p w:rsidR="00CA619E" w:rsidRDefault="00F00263">
      <w:pPr>
        <w:pStyle w:val="Standard"/>
        <w:spacing w:after="120" w:line="240" w:lineRule="auto"/>
        <w:ind w:firstLine="420"/>
        <w:jc w:val="right"/>
      </w:pPr>
      <w:r>
        <w:rPr>
          <w:rFonts w:eastAsia="Times New Roman" w:cs="Times New Roman"/>
          <w:sz w:val="28"/>
          <w:szCs w:val="28"/>
          <w:shd w:val="clear" w:color="auto" w:fill="FFFFFF"/>
        </w:rPr>
        <w:t xml:space="preserve"> </w:t>
      </w:r>
    </w:p>
    <w:p w:rsidR="00CA619E" w:rsidRDefault="00CA619E">
      <w:pPr>
        <w:pStyle w:val="Standard"/>
        <w:spacing w:after="120" w:line="240" w:lineRule="auto"/>
        <w:ind w:firstLine="420"/>
        <w:jc w:val="right"/>
        <w:rPr>
          <w:rFonts w:eastAsia="Times New Roman" w:cs="Times New Roman"/>
          <w:sz w:val="28"/>
          <w:szCs w:val="28"/>
          <w:shd w:val="clear" w:color="auto" w:fill="FFFFFF"/>
        </w:rPr>
      </w:pPr>
    </w:p>
    <w:p w:rsidR="00CA619E" w:rsidRDefault="00CA619E">
      <w:pPr>
        <w:pStyle w:val="Standard"/>
        <w:spacing w:after="120" w:line="240" w:lineRule="auto"/>
        <w:ind w:firstLine="420"/>
        <w:jc w:val="right"/>
        <w:rPr>
          <w:rFonts w:eastAsia="Times New Roman" w:cs="Times New Roman"/>
          <w:sz w:val="28"/>
          <w:szCs w:val="28"/>
          <w:shd w:val="clear" w:color="auto" w:fill="FFFFFF"/>
        </w:rPr>
      </w:pPr>
    </w:p>
    <w:p w:rsidR="00CA619E" w:rsidRDefault="00CA619E">
      <w:pPr>
        <w:pStyle w:val="Standard"/>
        <w:spacing w:after="120" w:line="240" w:lineRule="auto"/>
        <w:rPr>
          <w:rFonts w:eastAsia="Times New Roman" w:cs="Times New Roman"/>
          <w:sz w:val="28"/>
          <w:szCs w:val="28"/>
          <w:shd w:val="clear" w:color="auto" w:fill="FFFFFF"/>
        </w:rPr>
      </w:pPr>
    </w:p>
    <w:p w:rsidR="00CA619E" w:rsidRDefault="00CA619E">
      <w:pPr>
        <w:pStyle w:val="Standard"/>
        <w:spacing w:after="120" w:line="240" w:lineRule="auto"/>
        <w:ind w:firstLine="420"/>
        <w:jc w:val="center"/>
        <w:rPr>
          <w:rFonts w:eastAsia="Times New Roman" w:cs="Times New Roman"/>
          <w:sz w:val="28"/>
          <w:szCs w:val="28"/>
          <w:shd w:val="clear" w:color="auto" w:fill="FFFFFF"/>
        </w:rPr>
      </w:pPr>
    </w:p>
    <w:p w:rsidR="00CA619E" w:rsidRDefault="00F00263">
      <w:pPr>
        <w:pStyle w:val="Standard"/>
        <w:spacing w:after="120" w:line="240" w:lineRule="auto"/>
        <w:ind w:firstLine="420"/>
        <w:jc w:val="center"/>
      </w:pPr>
      <w:r>
        <w:rPr>
          <w:rFonts w:eastAsia="Times New Roman" w:cs="Times New Roman"/>
          <w:sz w:val="28"/>
          <w:szCs w:val="28"/>
          <w:shd w:val="clear" w:color="auto" w:fill="FFFFFF"/>
        </w:rPr>
        <w:t>Москва, 2017</w:t>
      </w:r>
    </w:p>
    <w:p w:rsidR="00CA619E" w:rsidRDefault="00F00263">
      <w:pPr>
        <w:pStyle w:val="1"/>
        <w:pageBreakBefore/>
      </w:pPr>
      <w:r>
        <w:lastRenderedPageBreak/>
        <w:t>Задание</w:t>
      </w:r>
    </w:p>
    <w:p w:rsidR="00CA619E" w:rsidRDefault="005D71F1">
      <w:pPr>
        <w:pStyle w:val="Standard"/>
      </w:pPr>
      <w:r>
        <w:t>Обучит</w:t>
      </w:r>
      <w:r w:rsidR="00E948CD">
        <w:t>ь</w:t>
      </w:r>
      <w:r>
        <w:t>ся работе</w:t>
      </w:r>
      <w:r w:rsidR="00F00263">
        <w:t xml:space="preserve"> с </w:t>
      </w:r>
      <w:r w:rsidR="00E948CD">
        <w:t xml:space="preserve">различными видами </w:t>
      </w:r>
      <w:r w:rsidR="00F00263">
        <w:t>преобразовани</w:t>
      </w:r>
      <w:r w:rsidR="00E948CD">
        <w:t>й</w:t>
      </w:r>
      <w:r w:rsidR="00F00263">
        <w:t xml:space="preserve"> Фурье (быстрое, прямое и обратное) в программе </w:t>
      </w:r>
      <w:r w:rsidR="00F00263">
        <w:rPr>
          <w:lang w:val="en-US"/>
        </w:rPr>
        <w:t>Mathcad</w:t>
      </w:r>
      <w:r w:rsidR="00F00263">
        <w:t xml:space="preserve">, получить результаты </w:t>
      </w:r>
      <w:r w:rsidR="00E948CD">
        <w:t>в процессе выполнения задания</w:t>
      </w:r>
      <w:r w:rsidR="00F00263">
        <w:t xml:space="preserve"> и продемонстрировать их в виде графиков и функций.</w:t>
      </w:r>
    </w:p>
    <w:p w:rsidR="00CA619E" w:rsidRDefault="00F00263">
      <w:pPr>
        <w:pStyle w:val="1"/>
        <w:rPr>
          <w:lang w:val="en-US"/>
        </w:rPr>
      </w:pPr>
      <w:r>
        <w:t>Решение</w:t>
      </w:r>
    </w:p>
    <w:p w:rsidR="00CA619E" w:rsidRDefault="00EB6E36" w:rsidP="00E948CD">
      <w:pPr>
        <w:pStyle w:val="Textbody"/>
        <w:ind w:firstLine="0"/>
      </w:pPr>
      <w:r>
        <w:rPr>
          <w:noProof/>
        </w:rPr>
        <w:drawing>
          <wp:inline distT="0" distB="0" distL="0" distR="0" wp14:anchorId="0F12FECA" wp14:editId="2ED940FC">
            <wp:extent cx="5940425" cy="2537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36" w:rsidRDefault="00EB6E36" w:rsidP="00E948CD">
      <w:pPr>
        <w:pStyle w:val="Textbody"/>
        <w:ind w:firstLine="0"/>
      </w:pPr>
      <w:r>
        <w:rPr>
          <w:noProof/>
        </w:rPr>
        <w:drawing>
          <wp:inline distT="0" distB="0" distL="0" distR="0" wp14:anchorId="5A022F59" wp14:editId="6B73C1BC">
            <wp:extent cx="5940425" cy="37019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36" w:rsidRDefault="00EB6E36" w:rsidP="00E948CD">
      <w:pPr>
        <w:pStyle w:val="Textbody"/>
        <w:ind w:firstLine="0"/>
      </w:pPr>
      <w:r>
        <w:rPr>
          <w:noProof/>
        </w:rPr>
        <w:lastRenderedPageBreak/>
        <w:drawing>
          <wp:inline distT="0" distB="0" distL="0" distR="0" wp14:anchorId="03776977" wp14:editId="1A80E84F">
            <wp:extent cx="5940425" cy="1578759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36" w:rsidRDefault="00EB6E36" w:rsidP="00E948CD">
      <w:pPr>
        <w:pStyle w:val="Textbody"/>
        <w:ind w:firstLine="0"/>
      </w:pPr>
      <w:r>
        <w:rPr>
          <w:noProof/>
        </w:rPr>
        <w:drawing>
          <wp:inline distT="0" distB="0" distL="0" distR="0" wp14:anchorId="444EB0CD" wp14:editId="0DF1DD5A">
            <wp:extent cx="5940425" cy="2771871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36" w:rsidRDefault="00EB6E36" w:rsidP="00E948CD">
      <w:pPr>
        <w:pStyle w:val="Textbody"/>
        <w:ind w:firstLine="0"/>
      </w:pPr>
      <w:r>
        <w:rPr>
          <w:noProof/>
        </w:rPr>
        <w:drawing>
          <wp:inline distT="0" distB="0" distL="0" distR="0" wp14:anchorId="50A9AEFD" wp14:editId="64D1C651">
            <wp:extent cx="5940425" cy="2970519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9E" w:rsidRDefault="00F00263">
      <w:pPr>
        <w:pStyle w:val="1"/>
      </w:pPr>
      <w:r>
        <w:t>Теория</w:t>
      </w:r>
    </w:p>
    <w:p w:rsidR="00CA619E" w:rsidRPr="00E948CD" w:rsidRDefault="00F00263">
      <w:pPr>
        <w:pStyle w:val="Standard"/>
      </w:pPr>
      <w:r w:rsidRPr="00FA42F0">
        <w:t>Преобразование Фурье</w:t>
      </w:r>
      <w:r>
        <w:rPr>
          <w:b/>
        </w:rPr>
        <w:t xml:space="preserve"> – </w:t>
      </w:r>
      <w:r>
        <w:t>это</w:t>
      </w:r>
      <w:r>
        <w:rPr>
          <w:b/>
        </w:rPr>
        <w:t xml:space="preserve"> </w:t>
      </w:r>
      <w:r>
        <w:t>операция, сопоставляющая одной функции вещественной переменной другую функцию вещественной переменной, которая описывает коэффициенты</w:t>
      </w:r>
      <w:r w:rsidR="005A13E6">
        <w:t xml:space="preserve"> </w:t>
      </w:r>
      <w:r>
        <w:t>(«амплитуды») при разложении исходной функции на составляющие – гармонические колебания с разными частотами.</w:t>
      </w:r>
      <w:r w:rsidR="00E948CD" w:rsidRPr="00E948CD">
        <w:t xml:space="preserve"> [</w:t>
      </w:r>
      <w:r w:rsidR="00E948CD" w:rsidRPr="005A13E6">
        <w:t>1]</w:t>
      </w:r>
    </w:p>
    <w:p w:rsidR="00CA619E" w:rsidRDefault="00F00263">
      <w:pPr>
        <w:pStyle w:val="Standard"/>
      </w:pPr>
      <w:r>
        <w:lastRenderedPageBreak/>
        <w:t>Прямое</w:t>
      </w:r>
      <w:r w:rsidR="005A13E6">
        <w:t xml:space="preserve"> и обратное </w:t>
      </w:r>
      <w:r>
        <w:t xml:space="preserve">преобразование Фурье </w:t>
      </w:r>
      <w:r w:rsidR="005A13E6">
        <w:t>описываются</w:t>
      </w:r>
      <w:r>
        <w:t xml:space="preserve"> следующими формулами</w:t>
      </w:r>
      <w:r w:rsidR="005A13E6">
        <w:t xml:space="preserve"> соответственно</w:t>
      </w:r>
      <w:r>
        <w:t>:</w:t>
      </w:r>
    </w:p>
    <w:p w:rsidR="00CA619E" w:rsidRDefault="00F00263">
      <w:pPr>
        <w:pStyle w:val="Standard"/>
      </w:pPr>
      <w:r>
        <w:t xml:space="preserve"> </w:t>
      </w:r>
    </w:p>
    <w:p w:rsidR="00CA619E" w:rsidRDefault="00F00263" w:rsidP="005A13E6">
      <w:pPr>
        <w:pStyle w:val="Standard"/>
        <w:ind w:firstLine="0"/>
        <w:jc w:val="center"/>
      </w:pPr>
      <w:r>
        <w:t>(1)</w:t>
      </w:r>
      <w:r w:rsidR="005A13E6" w:rsidRPr="005A13E6">
        <w:rPr>
          <w:noProof/>
        </w:rPr>
        <w:t xml:space="preserve"> </w:t>
      </w:r>
      <w:r w:rsidR="005A13E6">
        <w:rPr>
          <w:noProof/>
        </w:rPr>
        <w:drawing>
          <wp:inline distT="0" distB="0" distL="0" distR="0" wp14:anchorId="5B368C34" wp14:editId="56AD8C58">
            <wp:extent cx="2114550" cy="695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9E" w:rsidRDefault="00CA619E" w:rsidP="005A13E6">
      <w:pPr>
        <w:pStyle w:val="Standard"/>
        <w:ind w:firstLine="0"/>
        <w:jc w:val="center"/>
      </w:pPr>
    </w:p>
    <w:p w:rsidR="00CA619E" w:rsidRDefault="00F00263" w:rsidP="005A13E6">
      <w:pPr>
        <w:pStyle w:val="Standard"/>
        <w:ind w:firstLine="0"/>
        <w:jc w:val="center"/>
        <w:rPr>
          <w:noProof/>
        </w:rPr>
      </w:pPr>
      <w:r>
        <w:t>(2)</w:t>
      </w:r>
      <w:r w:rsidR="005A13E6" w:rsidRPr="005A13E6">
        <w:rPr>
          <w:noProof/>
        </w:rPr>
        <w:t xml:space="preserve"> </w:t>
      </w:r>
      <w:r w:rsidR="005A13E6">
        <w:rPr>
          <w:noProof/>
        </w:rPr>
        <w:drawing>
          <wp:inline distT="0" distB="0" distL="0" distR="0" wp14:anchorId="56A13EC7" wp14:editId="02F24C36">
            <wp:extent cx="2133600" cy="647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47" w:rsidRPr="00673947" w:rsidRDefault="00673947" w:rsidP="00673947">
      <w:pPr>
        <w:pStyle w:val="Standard"/>
      </w:pPr>
      <w:r>
        <w:rPr>
          <w:noProof/>
        </w:rPr>
        <w:t xml:space="preserve">На первой спектограмме функции </w:t>
      </w:r>
      <w:r>
        <w:rPr>
          <w:noProof/>
          <w:lang w:val="en-US"/>
        </w:rPr>
        <w:t>y</w:t>
      </w:r>
      <w:r w:rsidRPr="00673947">
        <w:rPr>
          <w:noProof/>
        </w:rPr>
        <w:t>(</w:t>
      </w:r>
      <w:r>
        <w:rPr>
          <w:noProof/>
          <w:lang w:val="en-US"/>
        </w:rPr>
        <w:t>t</w:t>
      </w:r>
      <w:r w:rsidRPr="00673947">
        <w:rPr>
          <w:noProof/>
        </w:rPr>
        <w:t>)</w:t>
      </w:r>
      <w:r>
        <w:rPr>
          <w:noProof/>
        </w:rPr>
        <w:t xml:space="preserve"> резкие скачки вызваны перепадами на графике слева. Число гармоник, указанных далее для преобразования Фурье, влияет на количество </w:t>
      </w:r>
      <w:r w:rsidRPr="00673947">
        <w:rPr>
          <w:noProof/>
        </w:rPr>
        <w:t>“</w:t>
      </w:r>
      <w:r>
        <w:rPr>
          <w:noProof/>
        </w:rPr>
        <w:t>волн</w:t>
      </w:r>
      <w:r w:rsidRPr="00673947">
        <w:rPr>
          <w:noProof/>
        </w:rPr>
        <w:t>”</w:t>
      </w:r>
      <w:r>
        <w:rPr>
          <w:noProof/>
        </w:rPr>
        <w:t xml:space="preserve">, возникающих на протяжении сигнала. Чем больше их число, тем больше </w:t>
      </w:r>
      <w:r w:rsidRPr="00673947">
        <w:rPr>
          <w:noProof/>
        </w:rPr>
        <w:t>“</w:t>
      </w:r>
      <w:r>
        <w:rPr>
          <w:noProof/>
        </w:rPr>
        <w:t>волн</w:t>
      </w:r>
      <w:r w:rsidRPr="00673947">
        <w:rPr>
          <w:noProof/>
        </w:rPr>
        <w:t>”</w:t>
      </w:r>
      <w:r>
        <w:rPr>
          <w:noProof/>
        </w:rPr>
        <w:t xml:space="preserve"> будет.</w:t>
      </w:r>
    </w:p>
    <w:p w:rsidR="00CA619E" w:rsidRDefault="00F00263">
      <w:pPr>
        <w:pStyle w:val="Standard"/>
      </w:pPr>
      <w:r>
        <w:t xml:space="preserve">Так как преобразование </w:t>
      </w:r>
      <w:r w:rsidR="00673947">
        <w:t xml:space="preserve">Фурье </w:t>
      </w:r>
      <w:r>
        <w:t xml:space="preserve">работает с комплексными числами, то возникают проблемы с отображением результатов преобразования, </w:t>
      </w:r>
      <w:r w:rsidR="00673947">
        <w:t xml:space="preserve">из-за определения </w:t>
      </w:r>
      <w:r>
        <w:t>комплексны</w:t>
      </w:r>
      <w:r w:rsidR="00673947">
        <w:t>х</w:t>
      </w:r>
      <w:r>
        <w:t xml:space="preserve"> чис</w:t>
      </w:r>
      <w:r w:rsidR="00673947">
        <w:t>ел</w:t>
      </w:r>
      <w:r>
        <w:t xml:space="preserve"> двумя действительными на графике.</w:t>
      </w:r>
      <w:r>
        <w:br/>
        <w:t>Поэтому удобнее представлять комплексные числа в виде модуля и аргумента.</w:t>
      </w:r>
      <w:r w:rsidR="00673947">
        <w:t xml:space="preserve"> Так график (ФЧХ) аргумента комплексного значения </w:t>
      </w:r>
      <w:r w:rsidR="00673947" w:rsidRPr="005D71F1">
        <w:t>(</w:t>
      </w:r>
      <w:proofErr w:type="spellStart"/>
      <w:r w:rsidR="00673947">
        <w:rPr>
          <w:lang w:val="en-US"/>
        </w:rPr>
        <w:t>arg</w:t>
      </w:r>
      <w:proofErr w:type="spellEnd"/>
      <w:r w:rsidR="00673947" w:rsidRPr="005D71F1">
        <w:t>(</w:t>
      </w:r>
      <w:r w:rsidR="00673947">
        <w:rPr>
          <w:lang w:val="en-US"/>
        </w:rPr>
        <w:t>f</w:t>
      </w:r>
      <w:r w:rsidR="00673947" w:rsidRPr="005D71F1">
        <w:t>))</w:t>
      </w:r>
      <w:r w:rsidR="00673947">
        <w:t xml:space="preserve"> называют фазовым спектром, а график (АЧХ) модуля – амплитудным спектром.</w:t>
      </w:r>
    </w:p>
    <w:p w:rsidR="00CA619E" w:rsidRDefault="00F00263">
      <w:pPr>
        <w:pStyle w:val="Standard"/>
      </w:pPr>
      <w:r>
        <w:t xml:space="preserve">Д. У. Гиббс </w:t>
      </w:r>
      <w:r w:rsidR="00693244">
        <w:t xml:space="preserve">был опубликован в журнале </w:t>
      </w:r>
      <w:r w:rsidR="00693244" w:rsidRPr="00693244">
        <w:t>“</w:t>
      </w:r>
      <w:r w:rsidR="00693244">
        <w:rPr>
          <w:lang w:val="en-US"/>
        </w:rPr>
        <w:t>Nature</w:t>
      </w:r>
      <w:r w:rsidR="00693244" w:rsidRPr="00693244">
        <w:t>”[5]</w:t>
      </w:r>
      <w:r w:rsidR="00693244">
        <w:t>, где он объяснил</w:t>
      </w:r>
      <w:r>
        <w:t xml:space="preserve">, что </w:t>
      </w:r>
      <w:proofErr w:type="gramStart"/>
      <w:r>
        <w:t>ряд Фурье не всегда</w:t>
      </w:r>
      <w:r w:rsidR="00693244">
        <w:t xml:space="preserve"> абсолютно точно</w:t>
      </w:r>
      <w:r>
        <w:t xml:space="preserve"> представляет разлагаемую</w:t>
      </w:r>
      <w:proofErr w:type="gramEnd"/>
      <w:r>
        <w:t xml:space="preserve"> функцию</w:t>
      </w:r>
      <w:r w:rsidR="00693244">
        <w:t>, скачки остаются вне зависимости от того, как много гармоник было выделено</w:t>
      </w:r>
      <w:r>
        <w:t>.</w:t>
      </w:r>
      <w:r w:rsidR="00693244">
        <w:t xml:space="preserve"> На рисунках ниже данное суждение можно наглядно видеть</w:t>
      </w:r>
      <w:r w:rsidR="00F231ED">
        <w:t xml:space="preserve"> у прямоугольной волны</w:t>
      </w:r>
      <w:r w:rsidR="00693244">
        <w:t>. Слева – 25 гармоник, справа – 125.</w:t>
      </w:r>
    </w:p>
    <w:p w:rsidR="00693244" w:rsidRDefault="00693244" w:rsidP="00693244">
      <w:pPr>
        <w:pStyle w:val="Standard"/>
        <w:jc w:val="center"/>
      </w:pPr>
      <w:r>
        <w:rPr>
          <w:noProof/>
        </w:rPr>
        <w:drawing>
          <wp:inline distT="0" distB="0" distL="0" distR="0">
            <wp:extent cx="2714625" cy="1357313"/>
            <wp:effectExtent l="0" t="0" r="0" b="0"/>
            <wp:docPr id="16" name="Рисунок 16" descr="https://upload.wikimedia.org/wikipedia/commons/thumb/b/b3/Gibbs_phenomenon_50.svg/800px-Gibbs_phenomenon_5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b/b3/Gibbs_phenomenon_50.svg/800px-Gibbs_phenomenon_50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175" cy="135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244">
        <w:t xml:space="preserve"> </w:t>
      </w:r>
      <w:r>
        <w:rPr>
          <w:noProof/>
        </w:rPr>
        <w:drawing>
          <wp:inline distT="0" distB="0" distL="0" distR="0">
            <wp:extent cx="2714400" cy="1357200"/>
            <wp:effectExtent l="0" t="0" r="0" b="0"/>
            <wp:docPr id="17" name="Рисунок 17" descr="https://upload.wikimedia.org/wikipedia/commons/thumb/d/dc/Gibbs_phenomenon_250.svg/800px-Gibbs_phenomenon_25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d/dc/Gibbs_phenomenon_250.svg/800px-Gibbs_phenomenon_250.sv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9E" w:rsidRDefault="00F231ED">
      <w:pPr>
        <w:pStyle w:val="Standard"/>
      </w:pPr>
      <w:r>
        <w:t>Таким образом, я</w:t>
      </w:r>
      <w:r w:rsidR="00F00263" w:rsidRPr="00F231ED">
        <w:t>вление Гиббса</w:t>
      </w:r>
      <w:r w:rsidR="00F00263">
        <w:t xml:space="preserve"> </w:t>
      </w:r>
      <w:r>
        <w:t xml:space="preserve">является </w:t>
      </w:r>
      <w:r w:rsidR="00F00263">
        <w:t>особ</w:t>
      </w:r>
      <w:r>
        <w:t>ым</w:t>
      </w:r>
      <w:r w:rsidR="00F00263">
        <w:t xml:space="preserve"> поведение</w:t>
      </w:r>
      <w:r>
        <w:t>м</w:t>
      </w:r>
      <w:r w:rsidR="00F00263">
        <w:t xml:space="preserve"> частичных сумм ряда Фурье в окрестности точки разрыва разлагаемой функции.</w:t>
      </w:r>
      <w:r>
        <w:t xml:space="preserve"> Это вызвано тем, что</w:t>
      </w:r>
      <w:r w:rsidRPr="00F231ED">
        <w:t xml:space="preserve"> </w:t>
      </w:r>
      <w:proofErr w:type="gramStart"/>
      <w:r>
        <w:t>ряд Фурье разрывной функции не сходится к</w:t>
      </w:r>
      <w:proofErr w:type="gramEnd"/>
      <w:r>
        <w:t xml:space="preserve"> разлагаемой функции в окрестности разрыва.</w:t>
      </w:r>
    </w:p>
    <w:p w:rsidR="00515806" w:rsidRPr="00673947" w:rsidRDefault="00515806">
      <w:pPr>
        <w:pStyle w:val="Standard"/>
      </w:pPr>
      <w:proofErr w:type="spellStart"/>
      <w:proofErr w:type="gramStart"/>
      <w:r>
        <w:rPr>
          <w:lang w:val="en-US"/>
        </w:rPr>
        <w:t>fft</w:t>
      </w:r>
      <w:proofErr w:type="spellEnd"/>
      <w:proofErr w:type="gramEnd"/>
      <w:r w:rsidRPr="00515806">
        <w:t xml:space="preserve"> – </w:t>
      </w:r>
      <w:r>
        <w:t xml:space="preserve">функция </w:t>
      </w:r>
      <w:r w:rsidRPr="00515806">
        <w:t>выполнени</w:t>
      </w:r>
      <w:r>
        <w:t>я</w:t>
      </w:r>
      <w:r w:rsidRPr="00515806">
        <w:t xml:space="preserve"> </w:t>
      </w:r>
      <w:r>
        <w:t>быстрого преобразования Фурье, она использует тот факт, что</w:t>
      </w:r>
      <w:r w:rsidRPr="00515806">
        <w:t xml:space="preserve"> для вещественных данных вторая половина преобразования Фурье является </w:t>
      </w:r>
      <w:r w:rsidRPr="00515806">
        <w:lastRenderedPageBreak/>
        <w:t xml:space="preserve">комплексно сопряженной с первой. </w:t>
      </w:r>
      <w:proofErr w:type="spellStart"/>
      <w:r w:rsidRPr="00515806">
        <w:t>Mathcad</w:t>
      </w:r>
      <w:proofErr w:type="spellEnd"/>
      <w:r w:rsidRPr="00515806">
        <w:t xml:space="preserve"> отбрасывает вторую половину вектора-результата. Это сохраняет и </w:t>
      </w:r>
      <w:proofErr w:type="gramStart"/>
      <w:r w:rsidRPr="00515806">
        <w:t>время</w:t>
      </w:r>
      <w:proofErr w:type="gramEnd"/>
      <w:r w:rsidRPr="00515806">
        <w:t xml:space="preserve"> и память при вычислениях.</w:t>
      </w:r>
      <w:r>
        <w:t xml:space="preserve"> Данное различие между </w:t>
      </w:r>
      <w:proofErr w:type="spellStart"/>
      <w:r>
        <w:rPr>
          <w:lang w:val="en-US"/>
        </w:rPr>
        <w:t>cfft</w:t>
      </w:r>
      <w:proofErr w:type="spellEnd"/>
      <w:r w:rsidRPr="00515806">
        <w:t xml:space="preserve"> </w:t>
      </w:r>
      <w:r>
        <w:t xml:space="preserve">и </w:t>
      </w:r>
      <w:proofErr w:type="spellStart"/>
      <w:r>
        <w:rPr>
          <w:lang w:val="en-US"/>
        </w:rPr>
        <w:t>fft</w:t>
      </w:r>
      <w:proofErr w:type="spellEnd"/>
      <w:r>
        <w:t xml:space="preserve"> можно видеть на графиках, где диапазон измерений для Б</w:t>
      </w:r>
      <w:proofErr w:type="gramStart"/>
      <w:r>
        <w:t>ПФ в дв</w:t>
      </w:r>
      <w:proofErr w:type="gramEnd"/>
      <w:r>
        <w:t>а раза меньше, чем для обычного преобразования, который не использует симметрию второй половины и не отбрасывает ее.</w:t>
      </w:r>
      <w:r w:rsidR="00673947">
        <w:t xml:space="preserve"> При этом</w:t>
      </w:r>
      <w:proofErr w:type="gramStart"/>
      <w:r w:rsidR="00673947">
        <w:t>,</w:t>
      </w:r>
      <w:proofErr w:type="gramEnd"/>
      <w:r w:rsidR="00673947">
        <w:t xml:space="preserve"> при рассмотрении АЧХ и ФЧХ для различных функций, становится понятно, что первые половины у них точно аналогичны друг другу. </w:t>
      </w:r>
    </w:p>
    <w:p w:rsidR="00CA619E" w:rsidRDefault="00F00263">
      <w:pPr>
        <w:pStyle w:val="1"/>
      </w:pPr>
      <w:r>
        <w:t>Выводы</w:t>
      </w:r>
    </w:p>
    <w:p w:rsidR="00CA619E" w:rsidRDefault="00F00263">
      <w:pPr>
        <w:pStyle w:val="Standard"/>
      </w:pPr>
      <w:r>
        <w:t xml:space="preserve">В процессе работы </w:t>
      </w:r>
      <w:r w:rsidR="00EB6E36">
        <w:t>были приобретены навыки по работе с быстрым, прямым</w:t>
      </w:r>
      <w:r>
        <w:t xml:space="preserve"> и обратн</w:t>
      </w:r>
      <w:r w:rsidR="00EB6E36">
        <w:t>ым</w:t>
      </w:r>
      <w:r>
        <w:t xml:space="preserve"> преобразование</w:t>
      </w:r>
      <w:r w:rsidR="00EB6E36">
        <w:t>м</w:t>
      </w:r>
      <w:r>
        <w:t xml:space="preserve"> Фурье</w:t>
      </w:r>
      <w:r w:rsidR="00EB6E36">
        <w:t xml:space="preserve"> в программе </w:t>
      </w:r>
      <w:r w:rsidR="00EB6E36">
        <w:rPr>
          <w:lang w:val="en-US"/>
        </w:rPr>
        <w:t>Mathcad</w:t>
      </w:r>
      <w:r w:rsidR="00EB6E36">
        <w:t xml:space="preserve">, получены знания по моделированию сложных инженерных универсальных функций, произведен  анализ </w:t>
      </w:r>
      <w:r w:rsidR="00515806">
        <w:t xml:space="preserve">различных видов преобразований, построены амплитудно-частотные и </w:t>
      </w:r>
      <w:proofErr w:type="spellStart"/>
      <w:r w:rsidR="00515806">
        <w:t>фазо</w:t>
      </w:r>
      <w:proofErr w:type="spellEnd"/>
      <w:r w:rsidR="00515806">
        <w:t xml:space="preserve">-частотные характеристики спектра импульса, было проделано сравнение исходного сигнала с преобразованным. </w:t>
      </w:r>
    </w:p>
    <w:p w:rsidR="00CA619E" w:rsidRDefault="00F00263">
      <w:pPr>
        <w:pStyle w:val="1"/>
      </w:pPr>
      <w:r>
        <w:t>Литература</w:t>
      </w:r>
    </w:p>
    <w:p w:rsidR="00CA619E" w:rsidRDefault="00E948CD">
      <w:pPr>
        <w:pStyle w:val="a7"/>
        <w:numPr>
          <w:ilvl w:val="0"/>
          <w:numId w:val="3"/>
        </w:numPr>
        <w:ind w:left="709" w:hanging="502"/>
      </w:pPr>
      <w:r>
        <w:t>Википедия.</w:t>
      </w:r>
      <w:r w:rsidR="001A49BD">
        <w:t xml:space="preserve"> </w:t>
      </w:r>
      <w:r>
        <w:t>Преобразование Фурье.</w:t>
      </w:r>
      <w:r w:rsidR="001A49BD">
        <w:t xml:space="preserve"> </w:t>
      </w:r>
      <w:r w:rsidR="00F00263">
        <w:t>URL: http://ru.wikipedia.org</w:t>
      </w:r>
      <w:r w:rsidRPr="00E948CD">
        <w:t>/</w:t>
      </w:r>
      <w:r>
        <w:rPr>
          <w:lang w:val="en-US"/>
        </w:rPr>
        <w:t>wiki</w:t>
      </w:r>
      <w:r w:rsidRPr="00E948CD">
        <w:t>/</w:t>
      </w:r>
      <w:proofErr w:type="spellStart"/>
      <w:r>
        <w:t>Преобразование_Фурье</w:t>
      </w:r>
      <w:proofErr w:type="spellEnd"/>
      <w:r w:rsidR="00F00263">
        <w:t xml:space="preserve"> (дата обращения: </w:t>
      </w:r>
      <w:r w:rsidR="00F06ED5">
        <w:t>15</w:t>
      </w:r>
      <w:r w:rsidR="00F00263">
        <w:t>.0</w:t>
      </w:r>
      <w:r w:rsidR="00F06ED5">
        <w:t>3</w:t>
      </w:r>
      <w:r w:rsidR="00F00263">
        <w:t>.2017).</w:t>
      </w:r>
    </w:p>
    <w:p w:rsidR="00E948CD" w:rsidRDefault="00E948CD" w:rsidP="00E948CD">
      <w:pPr>
        <w:pStyle w:val="a7"/>
        <w:numPr>
          <w:ilvl w:val="0"/>
          <w:numId w:val="3"/>
        </w:numPr>
        <w:ind w:left="709" w:hanging="502"/>
      </w:pPr>
      <w:r>
        <w:rPr>
          <w:lang w:val="en-US"/>
        </w:rPr>
        <w:t>Wikipedia</w:t>
      </w:r>
      <w:r w:rsidRPr="00E948CD">
        <w:t xml:space="preserve">. </w:t>
      </w:r>
      <w:r>
        <w:rPr>
          <w:lang w:val="en-US"/>
        </w:rPr>
        <w:t>Gibbs</w:t>
      </w:r>
      <w:r w:rsidRPr="00E948CD">
        <w:t xml:space="preserve"> </w:t>
      </w:r>
      <w:r>
        <w:rPr>
          <w:lang w:val="en-US"/>
        </w:rPr>
        <w:t>phenomenon</w:t>
      </w:r>
      <w:r w:rsidRPr="00E948CD">
        <w:t xml:space="preserve">. </w:t>
      </w:r>
      <w:r>
        <w:rPr>
          <w:lang w:val="en-US"/>
        </w:rPr>
        <w:t>URL</w:t>
      </w:r>
      <w:r w:rsidRPr="00E948CD">
        <w:t xml:space="preserve">: </w:t>
      </w:r>
      <w:r w:rsidRPr="00E948CD">
        <w:rPr>
          <w:lang w:val="en-US"/>
        </w:rPr>
        <w:t>https</w:t>
      </w:r>
      <w:r w:rsidRPr="00E948CD">
        <w:t>://</w:t>
      </w:r>
      <w:r w:rsidRPr="00E948CD">
        <w:rPr>
          <w:lang w:val="en-US"/>
        </w:rPr>
        <w:t>en</w:t>
      </w:r>
      <w:r w:rsidRPr="00E948CD">
        <w:t>.</w:t>
      </w:r>
      <w:proofErr w:type="spellStart"/>
      <w:r w:rsidRPr="00E948CD">
        <w:rPr>
          <w:lang w:val="en-US"/>
        </w:rPr>
        <w:t>wikipedia</w:t>
      </w:r>
      <w:proofErr w:type="spellEnd"/>
      <w:r w:rsidRPr="00E948CD">
        <w:t>.</w:t>
      </w:r>
      <w:r w:rsidRPr="00E948CD">
        <w:rPr>
          <w:lang w:val="en-US"/>
        </w:rPr>
        <w:t>org</w:t>
      </w:r>
      <w:r w:rsidRPr="00E948CD">
        <w:t>/</w:t>
      </w:r>
      <w:r w:rsidRPr="00E948CD">
        <w:rPr>
          <w:lang w:val="en-US"/>
        </w:rPr>
        <w:t>wiki</w:t>
      </w:r>
      <w:r w:rsidRPr="00E948CD">
        <w:t>/</w:t>
      </w:r>
      <w:r w:rsidRPr="00E948CD">
        <w:rPr>
          <w:lang w:val="en-US"/>
        </w:rPr>
        <w:t>Gibbs</w:t>
      </w:r>
      <w:r w:rsidRPr="00E948CD">
        <w:t>_</w:t>
      </w:r>
      <w:r w:rsidRPr="00E948CD">
        <w:rPr>
          <w:lang w:val="en-US"/>
        </w:rPr>
        <w:t>phenomenon</w:t>
      </w:r>
      <w:r w:rsidRPr="00E948CD">
        <w:t xml:space="preserve"> </w:t>
      </w:r>
      <w:r>
        <w:t xml:space="preserve">(дата обращения: </w:t>
      </w:r>
      <w:r w:rsidR="00F06ED5">
        <w:t>16</w:t>
      </w:r>
      <w:r>
        <w:t>.0</w:t>
      </w:r>
      <w:r w:rsidR="00F06ED5">
        <w:t>3</w:t>
      </w:r>
      <w:r>
        <w:t>.2017).</w:t>
      </w:r>
      <w:bookmarkStart w:id="0" w:name="_GoBack"/>
      <w:bookmarkEnd w:id="0"/>
    </w:p>
    <w:p w:rsidR="00CA619E" w:rsidRDefault="00F00263">
      <w:pPr>
        <w:pStyle w:val="a7"/>
        <w:numPr>
          <w:ilvl w:val="0"/>
          <w:numId w:val="2"/>
        </w:numPr>
        <w:ind w:left="709" w:hanging="502"/>
      </w:pPr>
      <w:r>
        <w:t xml:space="preserve">Зорич В. А. Математический анализ. — М.: </w:t>
      </w:r>
      <w:proofErr w:type="spellStart"/>
      <w:r>
        <w:t>Физматлит</w:t>
      </w:r>
      <w:proofErr w:type="spellEnd"/>
      <w:r>
        <w:t xml:space="preserve">, 1984. — </w:t>
      </w:r>
      <w:r w:rsidR="005A13E6">
        <w:t>С. 544</w:t>
      </w:r>
      <w:r w:rsidR="005A13E6" w:rsidRPr="005A13E6">
        <w:t>.</w:t>
      </w:r>
    </w:p>
    <w:p w:rsidR="00CA619E" w:rsidRPr="005A13E6" w:rsidRDefault="00F00263">
      <w:pPr>
        <w:pStyle w:val="a7"/>
        <w:numPr>
          <w:ilvl w:val="0"/>
          <w:numId w:val="2"/>
        </w:numPr>
        <w:ind w:left="709" w:hanging="502"/>
      </w:pPr>
      <w:proofErr w:type="gramStart"/>
      <w:r>
        <w:t>Афонский</w:t>
      </w:r>
      <w:proofErr w:type="gramEnd"/>
      <w:r>
        <w:t xml:space="preserve"> А. А., Дьяконов В. П. Цифровые анализаторы спектра, сигналов и логики / Под ред. проф. В. П. Дьяконова. — М.: СОЛОН-Пресс, 2009. — С. 248.</w:t>
      </w:r>
    </w:p>
    <w:p w:rsidR="005A13E6" w:rsidRPr="005D71F1" w:rsidRDefault="005A13E6" w:rsidP="005A13E6">
      <w:pPr>
        <w:pStyle w:val="a7"/>
        <w:numPr>
          <w:ilvl w:val="0"/>
          <w:numId w:val="2"/>
        </w:numPr>
        <w:ind w:left="709" w:hanging="502"/>
        <w:rPr>
          <w:lang w:val="en-US"/>
        </w:rPr>
      </w:pPr>
      <w:r>
        <w:rPr>
          <w:lang w:val="en-US"/>
        </w:rPr>
        <w:t>J. Willard Gibbs. Fourier’s Series. // Nature. — 1898. — Vol. 59, Num. 1522. — P. 200.</w:t>
      </w:r>
    </w:p>
    <w:p w:rsidR="00CA619E" w:rsidRPr="00E948CD" w:rsidRDefault="00CA619E" w:rsidP="00E948CD">
      <w:pPr>
        <w:ind w:left="207"/>
        <w:rPr>
          <w:lang w:val="en-US"/>
        </w:rPr>
      </w:pPr>
    </w:p>
    <w:sectPr w:rsidR="00CA619E" w:rsidRPr="00E948CD">
      <w:footerReference w:type="default" r:id="rId17"/>
      <w:pgSz w:w="11906" w:h="16838"/>
      <w:pgMar w:top="1134" w:right="850" w:bottom="70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799" w:rsidRDefault="006C1799">
      <w:pPr>
        <w:spacing w:after="0" w:line="240" w:lineRule="auto"/>
      </w:pPr>
      <w:r>
        <w:separator/>
      </w:r>
    </w:p>
  </w:endnote>
  <w:endnote w:type="continuationSeparator" w:id="0">
    <w:p w:rsidR="006C1799" w:rsidRDefault="006C1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9FD" w:rsidRDefault="00F00263">
    <w:pPr>
      <w:pStyle w:val="a6"/>
    </w:pPr>
    <w:r>
      <w:fldChar w:fldCharType="begin"/>
    </w:r>
    <w:r>
      <w:instrText xml:space="preserve"> PAGE </w:instrText>
    </w:r>
    <w:r>
      <w:fldChar w:fldCharType="separate"/>
    </w:r>
    <w:r w:rsidR="00F06ED5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799" w:rsidRDefault="006C179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C1799" w:rsidRDefault="006C1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8A6"/>
    <w:multiLevelType w:val="multilevel"/>
    <w:tmpl w:val="F4DEAFAC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67E80EF6"/>
    <w:multiLevelType w:val="multilevel"/>
    <w:tmpl w:val="3C7A7B78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A619E"/>
    <w:rsid w:val="001A49BD"/>
    <w:rsid w:val="00515806"/>
    <w:rsid w:val="005A13E6"/>
    <w:rsid w:val="005D71F1"/>
    <w:rsid w:val="00673947"/>
    <w:rsid w:val="00693244"/>
    <w:rsid w:val="006C1799"/>
    <w:rsid w:val="00CA619E"/>
    <w:rsid w:val="00E948CD"/>
    <w:rsid w:val="00EB6E36"/>
    <w:rsid w:val="00F00263"/>
    <w:rsid w:val="00F06ED5"/>
    <w:rsid w:val="00F231ED"/>
    <w:rsid w:val="00FA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keepLines/>
      <w:spacing w:before="120" w:after="120"/>
      <w:ind w:firstLine="0"/>
      <w:jc w:val="center"/>
      <w:outlineLvl w:val="0"/>
    </w:pPr>
    <w:rPr>
      <w:rFonts w:cs="F"/>
      <w:b/>
      <w:color w:val="00000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360" w:lineRule="auto"/>
      <w:ind w:firstLine="709"/>
      <w:jc w:val="both"/>
    </w:pPr>
    <w:rPr>
      <w:rFonts w:ascii="Times New Roman" w:eastAsia="Arial" w:hAnsi="Times New Roman" w:cs="Arial"/>
      <w:color w:val="000000"/>
      <w:sz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  <w:spacing w:line="240" w:lineRule="auto"/>
    </w:pPr>
  </w:style>
  <w:style w:type="paragraph" w:styleId="a7">
    <w:name w:val="List Paragraph"/>
    <w:basedOn w:val="Standard"/>
    <w:pPr>
      <w:ind w:left="720"/>
    </w:pPr>
  </w:style>
  <w:style w:type="character" w:customStyle="1" w:styleId="10">
    <w:name w:val="Заголовок 1 Знак"/>
    <w:basedOn w:val="a0"/>
    <w:rPr>
      <w:rFonts w:ascii="Times New Roman" w:hAnsi="Times New Roman" w:cs="F"/>
      <w:b/>
      <w:sz w:val="32"/>
      <w:szCs w:val="32"/>
      <w:lang w:eastAsia="ru-RU"/>
    </w:rPr>
  </w:style>
  <w:style w:type="character" w:styleId="a8">
    <w:name w:val="Placeholder Text"/>
    <w:basedOn w:val="a0"/>
    <w:rPr>
      <w:color w:val="808080"/>
    </w:rPr>
  </w:style>
  <w:style w:type="character" w:customStyle="1" w:styleId="a9">
    <w:name w:val="Верхний колонтитул Знак"/>
    <w:basedOn w:val="a0"/>
    <w:rPr>
      <w:rFonts w:ascii="Times New Roman" w:eastAsia="Arial" w:hAnsi="Times New Roman" w:cs="Arial"/>
      <w:color w:val="000000"/>
      <w:sz w:val="24"/>
      <w:lang w:eastAsia="ru-RU"/>
    </w:rPr>
  </w:style>
  <w:style w:type="character" w:customStyle="1" w:styleId="aa">
    <w:name w:val="Нижний колонтитул Знак"/>
    <w:basedOn w:val="a0"/>
    <w:rPr>
      <w:rFonts w:ascii="Times New Roman" w:eastAsia="Arial" w:hAnsi="Times New Roman" w:cs="Arial"/>
      <w:color w:val="000000"/>
      <w:sz w:val="24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styleId="ab">
    <w:name w:val="Balloon Text"/>
    <w:basedOn w:val="a"/>
    <w:link w:val="ac"/>
    <w:uiPriority w:val="99"/>
    <w:semiHidden/>
    <w:unhideWhenUsed/>
    <w:rsid w:val="005D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D7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keepLines/>
      <w:spacing w:before="120" w:after="120"/>
      <w:ind w:firstLine="0"/>
      <w:jc w:val="center"/>
      <w:outlineLvl w:val="0"/>
    </w:pPr>
    <w:rPr>
      <w:rFonts w:cs="F"/>
      <w:b/>
      <w:color w:val="00000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360" w:lineRule="auto"/>
      <w:ind w:firstLine="709"/>
      <w:jc w:val="both"/>
    </w:pPr>
    <w:rPr>
      <w:rFonts w:ascii="Times New Roman" w:eastAsia="Arial" w:hAnsi="Times New Roman" w:cs="Arial"/>
      <w:color w:val="000000"/>
      <w:sz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  <w:spacing w:line="240" w:lineRule="auto"/>
    </w:pPr>
  </w:style>
  <w:style w:type="paragraph" w:styleId="a7">
    <w:name w:val="List Paragraph"/>
    <w:basedOn w:val="Standard"/>
    <w:pPr>
      <w:ind w:left="720"/>
    </w:pPr>
  </w:style>
  <w:style w:type="character" w:customStyle="1" w:styleId="10">
    <w:name w:val="Заголовок 1 Знак"/>
    <w:basedOn w:val="a0"/>
    <w:rPr>
      <w:rFonts w:ascii="Times New Roman" w:hAnsi="Times New Roman" w:cs="F"/>
      <w:b/>
      <w:sz w:val="32"/>
      <w:szCs w:val="32"/>
      <w:lang w:eastAsia="ru-RU"/>
    </w:rPr>
  </w:style>
  <w:style w:type="character" w:styleId="a8">
    <w:name w:val="Placeholder Text"/>
    <w:basedOn w:val="a0"/>
    <w:rPr>
      <w:color w:val="808080"/>
    </w:rPr>
  </w:style>
  <w:style w:type="character" w:customStyle="1" w:styleId="a9">
    <w:name w:val="Верхний колонтитул Знак"/>
    <w:basedOn w:val="a0"/>
    <w:rPr>
      <w:rFonts w:ascii="Times New Roman" w:eastAsia="Arial" w:hAnsi="Times New Roman" w:cs="Arial"/>
      <w:color w:val="000000"/>
      <w:sz w:val="24"/>
      <w:lang w:eastAsia="ru-RU"/>
    </w:rPr>
  </w:style>
  <w:style w:type="character" w:customStyle="1" w:styleId="aa">
    <w:name w:val="Нижний колонтитул Знак"/>
    <w:basedOn w:val="a0"/>
    <w:rPr>
      <w:rFonts w:ascii="Times New Roman" w:eastAsia="Arial" w:hAnsi="Times New Roman" w:cs="Arial"/>
      <w:color w:val="000000"/>
      <w:sz w:val="24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styleId="ab">
    <w:name w:val="Balloon Text"/>
    <w:basedOn w:val="a"/>
    <w:link w:val="ac"/>
    <w:uiPriority w:val="99"/>
    <w:semiHidden/>
    <w:unhideWhenUsed/>
    <w:rsid w:val="005D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D7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Жалкова Н.Е.</dc:creator>
  <cp:lastModifiedBy>Наталия</cp:lastModifiedBy>
  <cp:revision>6</cp:revision>
  <dcterms:created xsi:type="dcterms:W3CDTF">2017-04-08T09:07:00Z</dcterms:created>
  <dcterms:modified xsi:type="dcterms:W3CDTF">2017-06-05T12:56:00Z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