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AERITH TRADING — RULEBOOK V1</w:t>
      </w:r>
    </w:p>
    <w:p>
      <w:pPr>
        <w:jc w:val="center"/>
      </w:pPr>
      <w:r>
        <w:rPr>
          <w:i/>
          <w:sz w:val="22"/>
        </w:rPr>
        <w:t>Constitution technique, sécurité et gouvernance du système de trading algorithmique</w:t>
      </w:r>
    </w:p>
    <w:p>
      <w:pPr>
        <w:jc w:val="center"/>
      </w:pPr>
      <w:r>
        <w:rPr>
          <w:b/>
        </w:rPr>
        <w:t>Version 1.0 — Référentiel de consolidation V8.1</w:t>
      </w:r>
    </w:p>
    <w:p>
      <w:pPr>
        <w:pStyle w:val="Heading1"/>
      </w:pPr>
      <w:r>
        <w:t>0. STATUT DU DOCUMENT</w:t>
      </w:r>
    </w:p>
    <w:p>
      <w:pPr>
        <w:pStyle w:val="ListBullet"/>
      </w:pPr>
      <w:r>
        <w:t>Ce document constitue le référentiel central des règles d’AERITH TRADING. Toute stratégie, IA externe, robot, connecteur API ou module d’analyse doit être compatible avec ce Rulebook.</w:t>
      </w:r>
    </w:p>
    <w:p>
      <w:pPr>
        <w:pStyle w:val="ListBullet"/>
      </w:pPr>
      <w:r>
        <w:t>Principe de priorité : aucune opportunité de profit ne peut justifier le contournement d’une règle de sécurité ou de protection du capital.</w:t>
      </w:r>
    </w:p>
    <w:p>
      <w:pPr>
        <w:pStyle w:val="ListBullet"/>
      </w:pPr>
      <w:r>
        <w:t>Ordre d’autorité : 0 Capital Survival → 1 System Integrity → 2 Security &amp; Identity → 3 Data Integrity → 4 Portfolio Risk → 5 Strategy Validation → 6 Execution.</w:t>
      </w:r>
    </w:p>
    <w:p>
      <w:pPr>
        <w:pStyle w:val="Heading1"/>
      </w:pPr>
      <w:r>
        <w:t>1. PRINCIPES FONDATEURS</w:t>
      </w:r>
    </w:p>
    <w:p>
      <w:pPr>
        <w:pStyle w:val="ListBullet"/>
      </w:pPr>
      <w:r>
        <w:t>Survie du capital avant recherche de performance.</w:t>
      </w:r>
    </w:p>
    <w:p>
      <w:pPr>
        <w:pStyle w:val="ListBullet"/>
      </w:pPr>
      <w:r>
        <w:t>L’état réel de l’exchange prévaut toujours sur l’état supposé par le système.</w:t>
      </w:r>
    </w:p>
    <w:p>
      <w:pPr>
        <w:pStyle w:val="ListBullet"/>
      </w:pPr>
      <w:r>
        <w:t>Une donnée non fiable ne doit jamais produire une exécution autonome.</w:t>
      </w:r>
    </w:p>
    <w:p>
      <w:pPr>
        <w:pStyle w:val="ListBullet"/>
      </w:pPr>
      <w:r>
        <w:t>Une IA externe peut proposer une décision mais ne peut pas commander directement le système.</w:t>
      </w:r>
    </w:p>
    <w:p>
      <w:pPr>
        <w:pStyle w:val="ListBullet"/>
      </w:pPr>
      <w:r>
        <w:t>Chaque action critique doit être traçable, explicable et auditée.</w:t>
      </w:r>
    </w:p>
    <w:p>
      <w:pPr>
        <w:pStyle w:val="ListBullet"/>
      </w:pPr>
      <w:r>
        <w:t>En cas d’incertitude sur l’état du système : arrêt des nouveaux trades.</w:t>
      </w:r>
    </w:p>
    <w:p>
      <w:pPr>
        <w:pStyle w:val="Heading1"/>
      </w:pPr>
      <w:r>
        <w:t>2. RÈGLES MATHÉMATIQUES ET QUANTITATIVES</w:t>
      </w:r>
    </w:p>
    <w:p>
      <w:pPr>
        <w:pStyle w:val="ListBullet"/>
      </w:pPr>
      <w:r>
        <w:t>Chaque stratégie doit définir explicitement : espérance mathématique, taux de réussite, ratio gain/perte, risque par trade, drawdown maximal et taille d’échantillon.</w:t>
      </w:r>
    </w:p>
    <w:p>
      <w:pPr>
        <w:pStyle w:val="ListBullet"/>
      </w:pPr>
      <w:r>
        <w:t>Le position sizing est déterminé par le Risk Governor et jamais uniquement par la conviction du signal.</w:t>
      </w:r>
    </w:p>
    <w:p>
      <w:pPr>
        <w:pStyle w:val="ListBullet"/>
      </w:pPr>
      <w:r>
        <w:t>Les simulations doivent intégrer frais, spread, slippage, latence, liquidité et exécutions partielles.</w:t>
      </w:r>
    </w:p>
    <w:p>
      <w:pPr>
        <w:pStyle w:val="ListBullet"/>
      </w:pPr>
      <w:r>
        <w:t>Les performances doivent être contrôlées hors échantillon et par walk-forward testing.</w:t>
      </w:r>
    </w:p>
    <w:p>
      <w:pPr>
        <w:pStyle w:val="ListBullet"/>
      </w:pPr>
      <w:r>
        <w:t>Les résultats doivent être soumis à des simulations Monte Carlo lorsque la stratégie atteint la phase de certification.</w:t>
      </w:r>
    </w:p>
    <w:p>
      <w:pPr>
        <w:pStyle w:val="ListBullet"/>
      </w:pPr>
      <w:r>
        <w:t>Interdiction d’optimiser des paramètres directement sur la période servant à juger définitivement la stratégie.</w:t>
      </w:r>
    </w:p>
    <w:p>
      <w:pPr>
        <w:pStyle w:val="Heading1"/>
      </w:pPr>
      <w:r>
        <w:t>3. RÈGLES MA50 / MA200</w:t>
      </w:r>
    </w:p>
    <w:p>
      <w:pPr>
        <w:pStyle w:val="ListBullet"/>
      </w:pPr>
      <w:r>
        <w:t>MA50 et MA200 sont utilisées comme composants de contexte, jamais comme autorisation unique d’entrée.</w:t>
      </w:r>
    </w:p>
    <w:p>
      <w:pPr>
        <w:pStyle w:val="ListBullet"/>
      </w:pPr>
      <w:r>
        <w:t>Le croisement, la pente et la distance entre les moyennes doivent être interprétés avec la structure de marché.</w:t>
      </w:r>
    </w:p>
    <w:p>
      <w:pPr>
        <w:pStyle w:val="ListBullet"/>
      </w:pPr>
      <w:r>
        <w:t>Un signal MA isolé ne peut pas contourner les règles de risque, de régime de marché ou de qualité des données.</w:t>
      </w:r>
    </w:p>
    <w:p>
      <w:pPr>
        <w:pStyle w:val="ListBullet"/>
      </w:pPr>
      <w:r>
        <w:t>Les paramètres exacts d’une stratégie utilisant MA50/MA200 doivent être versionnés et certifiés.</w:t>
      </w:r>
    </w:p>
    <w:p>
      <w:pPr>
        <w:pStyle w:val="Heading1"/>
      </w:pPr>
      <w:r>
        <w:t>4. RÈGLES ICHIMOKU</w:t>
      </w:r>
    </w:p>
    <w:p>
      <w:pPr>
        <w:pStyle w:val="ListBullet"/>
      </w:pPr>
      <w:r>
        <w:t>Ichimoku est traité comme module de contexte et de confluence.</w:t>
      </w:r>
    </w:p>
    <w:p>
      <w:pPr>
        <w:pStyle w:val="ListBullet"/>
      </w:pPr>
      <w:r>
        <w:t>L’analyse peut intégrer position par rapport au nuage, Tenkan/Kijun, Chikou Span et projections du nuage selon la stratégie certifiée.</w:t>
      </w:r>
    </w:p>
    <w:p>
      <w:pPr>
        <w:pStyle w:val="ListBullet"/>
      </w:pPr>
      <w:r>
        <w:t>Aucun élément Ichimoku isolé ne doit déclencher automatiquement une prise de position.</w:t>
      </w:r>
    </w:p>
    <w:p>
      <w:pPr>
        <w:pStyle w:val="ListBullet"/>
      </w:pPr>
      <w:r>
        <w:t>Les signaux contradictoires doivent réduire la confiance ou provoquer un refus selon la Policy Engine.</w:t>
      </w:r>
    </w:p>
    <w:p>
      <w:pPr>
        <w:pStyle w:val="Heading1"/>
      </w:pPr>
      <w:r>
        <w:t>5. CONFLUENCE ET MULTI-TIMEFRAME</w:t>
      </w:r>
    </w:p>
    <w:p>
      <w:pPr>
        <w:pStyle w:val="ListBullet"/>
      </w:pPr>
      <w:r>
        <w:t>Une décision de trading doit pouvoir documenter les conditions observées sur les horizons temporels utilisés.</w:t>
      </w:r>
    </w:p>
    <w:p>
      <w:pPr>
        <w:pStyle w:val="ListBullet"/>
      </w:pPr>
      <w:r>
        <w:t>La confluence augmente la qualité potentielle d’un signal mais ne remplace pas les contrôles de risque.</w:t>
      </w:r>
    </w:p>
    <w:p>
      <w:pPr>
        <w:pStyle w:val="ListBullet"/>
      </w:pPr>
      <w:r>
        <w:t>Les conflits entre timeframes doivent être explicitement classés : acceptable, dégradé ou bloquant.</w:t>
      </w:r>
    </w:p>
    <w:p>
      <w:pPr>
        <w:pStyle w:val="ListBullet"/>
      </w:pPr>
      <w:r>
        <w:t>Chaque stratégie doit déclarer ses timeframes autorisés dans son certificat.</w:t>
      </w:r>
    </w:p>
    <w:p>
      <w:pPr>
        <w:pStyle w:val="Heading1"/>
      </w:pPr>
      <w:r>
        <w:t>6. RÈGLES SPÉCIFIQUES AUX CRYPTO-MARCHÉS</w:t>
      </w:r>
    </w:p>
    <w:p>
      <w:pPr>
        <w:pStyle w:val="ListBullet"/>
      </w:pPr>
      <w:r>
        <w:t>Le système surveille en continu volatilité, liquidité, spread, anomalies de prix et changements de régime.</w:t>
      </w:r>
    </w:p>
    <w:p>
      <w:pPr>
        <w:pStyle w:val="ListBullet"/>
      </w:pPr>
      <w:r>
        <w:t>Les mouvements extrêmes peuvent déclencher un mode défensif ou un blocage des nouveaux ordres.</w:t>
      </w:r>
    </w:p>
    <w:p>
      <w:pPr>
        <w:pStyle w:val="ListBullet"/>
      </w:pPr>
      <w:r>
        <w:t>Les actifs fortement corrélés doivent être évalués comme une exposition agrégée et non comme des positions indépendantes.</w:t>
      </w:r>
    </w:p>
    <w:p>
      <w:pPr>
        <w:pStyle w:val="ListBullet"/>
      </w:pPr>
      <w:r>
        <w:t>Une absence ou dégradation importante des données de marché bloque les nouvelles décisions autonomes.</w:t>
      </w:r>
    </w:p>
    <w:p>
      <w:pPr>
        <w:pStyle w:val="Heading1"/>
      </w:pPr>
      <w:r>
        <w:t>7. DATA INTEGRITY</w:t>
      </w:r>
    </w:p>
    <w:p>
      <w:pPr>
        <w:pStyle w:val="ListBullet"/>
      </w:pPr>
      <w:r>
        <w:t>Chaque donnée critique doit être évaluée selon : source, timestamp, latence, complétude, cohérence et confiance.</w:t>
      </w:r>
    </w:p>
    <w:p>
      <w:pPr>
        <w:pStyle w:val="ListBullet"/>
      </w:pPr>
      <w:r>
        <w:t>États autorisés : VALID, DEGRADED, STALE, INVALID.</w:t>
      </w:r>
    </w:p>
    <w:p>
      <w:pPr>
        <w:pStyle w:val="ListBullet"/>
      </w:pPr>
      <w:r>
        <w:t>STALE ou INVALID : nouveaux trades bloqués.</w:t>
      </w:r>
    </w:p>
    <w:p>
      <w:pPr>
        <w:pStyle w:val="ListBullet"/>
      </w:pPr>
      <w:r>
        <w:t>Les divergences significatives entre sources doivent déclencher une détection d’anomalie.</w:t>
      </w:r>
    </w:p>
    <w:p>
      <w:pPr>
        <w:pStyle w:val="ListBullet"/>
      </w:pPr>
      <w:r>
        <w:t>Les données utilisées pour les décisions doivent être horodatées et conservées dans l’audit.</w:t>
      </w:r>
    </w:p>
    <w:p>
      <w:pPr>
        <w:pStyle w:val="Heading1"/>
      </w:pPr>
      <w:r>
        <w:t>8. PORTFOLIO RISK GOVERNOR</w:t>
      </w:r>
    </w:p>
    <w:p>
      <w:pPr>
        <w:pStyle w:val="ListBullet"/>
      </w:pPr>
      <w:r>
        <w:t>Le risque est calculé aux niveaux trade, position, actif, stratégie, cluster de corrélation, journée et portefeuille global.</w:t>
      </w:r>
    </w:p>
    <w:p>
      <w:pPr>
        <w:pStyle w:val="ListBullet"/>
      </w:pPr>
      <w:r>
        <w:t>Une stratégie ne peut pas augmenter seule les limites de risque.</w:t>
      </w:r>
    </w:p>
    <w:p>
      <w:pPr>
        <w:pStyle w:val="ListBullet"/>
      </w:pPr>
      <w:r>
        <w:t>Les limites de perte journalière et de drawdown global ont priorité sur les opportunités de trading.</w:t>
      </w:r>
    </w:p>
    <w:p>
      <w:pPr>
        <w:pStyle w:val="ListBullet"/>
      </w:pPr>
      <w:r>
        <w:t>Le portefeuille doit être réconcilié avec l’état réel de l’exchange.</w:t>
      </w:r>
    </w:p>
    <w:p>
      <w:pPr>
        <w:pStyle w:val="ListBullet"/>
      </w:pPr>
      <w:r>
        <w:t>Une exposition excessive peut entraîner réduction de taille ou refus du trade.</w:t>
      </w:r>
    </w:p>
    <w:p>
      <w:pPr>
        <w:pStyle w:val="Heading1"/>
      </w:pPr>
      <w:r>
        <w:t>9. RÈGLES D’EXÉCUTION</w:t>
      </w:r>
    </w:p>
    <w:p>
      <w:pPr>
        <w:pStyle w:val="ListBullet"/>
      </w:pPr>
      <w:r>
        <w:t>ONE TRADE = ONE DECISION PIPELINE.</w:t>
      </w:r>
    </w:p>
    <w:p>
      <w:pPr>
        <w:pStyle w:val="ListBullet"/>
      </w:pPr>
      <w:r>
        <w:t>Chaque intention possède un identifiant unique et une protection contre les doublons.</w:t>
      </w:r>
    </w:p>
    <w:p>
      <w:pPr>
        <w:pStyle w:val="ListBullet"/>
      </w:pPr>
      <w:r>
        <w:t>Les états d’ordre doivent être confirmés : soumis, reconnu, partiellement exécuté, exécuté, rejeté, annulé ou expiré.</w:t>
      </w:r>
    </w:p>
    <w:p>
      <w:pPr>
        <w:pStyle w:val="ListBullet"/>
      </w:pPr>
      <w:r>
        <w:t>Un timeout ne justifie jamais une répétition aveugle : interrogation de l’état réel avant retry.</w:t>
      </w:r>
    </w:p>
    <w:p>
      <w:pPr>
        <w:pStyle w:val="ListBullet"/>
      </w:pPr>
      <w:r>
        <w:t>Les exécutions partielles imposent un recalcul immédiat de la position, du risque et des protections.</w:t>
      </w:r>
    </w:p>
    <w:p>
      <w:pPr>
        <w:pStyle w:val="ListBullet"/>
      </w:pPr>
      <w:r>
        <w:t>Une position réelle non protégée est un état d’urgence.</w:t>
      </w:r>
    </w:p>
    <w:p>
      <w:pPr>
        <w:pStyle w:val="Heading1"/>
      </w:pPr>
      <w:r>
        <w:t>10. STOP LOSS ET PROTECTION</w:t>
      </w:r>
    </w:p>
    <w:p>
      <w:pPr>
        <w:pStyle w:val="ListBullet"/>
      </w:pPr>
      <w:r>
        <w:t>Après exécution d’une position, la protection doit être demandée, confirmée puis vérifiée.</w:t>
      </w:r>
    </w:p>
    <w:p>
      <w:pPr>
        <w:pStyle w:val="ListBullet"/>
      </w:pPr>
      <w:r>
        <w:t>Si le stop attendu n’est pas présent, le système passe en état d’urgence.</w:t>
      </w:r>
    </w:p>
    <w:p>
      <w:pPr>
        <w:pStyle w:val="ListBullet"/>
      </w:pPr>
      <w:r>
        <w:t>Les protections doivent correspondre à la quantité réellement exécutée.</w:t>
      </w:r>
    </w:p>
    <w:p>
      <w:pPr>
        <w:pStyle w:val="ListBullet"/>
      </w:pPr>
      <w:r>
        <w:t>Une position ne doit jamais être considérée comme protégée sur la seule base d’une intention interne.</w:t>
      </w:r>
    </w:p>
    <w:p>
      <w:pPr>
        <w:pStyle w:val="Heading1"/>
      </w:pPr>
      <w:r>
        <w:t>11. SÉCURITÉ API ET CONNEXIONS EXTERNES</w:t>
      </w:r>
    </w:p>
    <w:p>
      <w:pPr>
        <w:pStyle w:val="ListBullet"/>
      </w:pPr>
      <w:r>
        <w:t>Principe Zero Trust pour toute source externe.</w:t>
      </w:r>
    </w:p>
    <w:p>
      <w:pPr>
        <w:pStyle w:val="ListBullet"/>
      </w:pPr>
      <w:r>
        <w:t>Clés séparées pour développement, paper trading, production et audit.</w:t>
      </w:r>
    </w:p>
    <w:p>
      <w:pPr>
        <w:pStyle w:val="ListBullet"/>
      </w:pPr>
      <w:r>
        <w:t>Permissions minimales : lecture et trading selon besoin ; retrait interdit.</w:t>
      </w:r>
    </w:p>
    <w:p>
      <w:pPr>
        <w:pStyle w:val="ListBullet"/>
      </w:pPr>
      <w:r>
        <w:t>Une clé disposant d’un droit de retrait doit être refusée par la politique de sécurité.</w:t>
      </w:r>
    </w:p>
    <w:p>
      <w:pPr>
        <w:pStyle w:val="ListBullet"/>
      </w:pPr>
      <w:r>
        <w:t>Utilisation d’un Secret Vault / mécanisme de signature isolé lorsque l’architecture le permet.</w:t>
      </w:r>
    </w:p>
    <w:p>
      <w:pPr>
        <w:pStyle w:val="ListBullet"/>
      </w:pPr>
      <w:r>
        <w:t>Allowlist IP, rotation des clés et journalisation des événements de sécurité.</w:t>
      </w:r>
    </w:p>
    <w:p>
      <w:pPr>
        <w:pStyle w:val="ListBullet"/>
      </w:pPr>
      <w:r>
        <w:t>Une IA externe transmet des TRADE_PROPOSALS et non des ordres souverains.</w:t>
      </w:r>
    </w:p>
    <w:p>
      <w:pPr>
        <w:pStyle w:val="Heading1"/>
      </w:pPr>
      <w:r>
        <w:t>12. AI GOVERNANCE</w:t>
      </w:r>
    </w:p>
    <w:p>
      <w:pPr>
        <w:pStyle w:val="ListBullet"/>
      </w:pPr>
      <w:r>
        <w:t>Les IA et stratégies peuvent analyser et proposer.</w:t>
      </w:r>
    </w:p>
    <w:p>
      <w:pPr>
        <w:pStyle w:val="ListBullet"/>
      </w:pPr>
      <w:r>
        <w:t>Elles ne peuvent pas modifier directement : limites absolues de risque, Kill Switch, permissions API, règles de retrait ou Immutable Safety Core.</w:t>
      </w:r>
    </w:p>
    <w:p>
      <w:pPr>
        <w:pStyle w:val="ListBullet"/>
      </w:pPr>
      <w:r>
        <w:t>Toute modification critique doit être versionnée, simulée, auditée et validée selon la politique de gouvernance.</w:t>
      </w:r>
    </w:p>
    <w:p>
      <w:pPr>
        <w:pStyle w:val="ListBullet"/>
      </w:pPr>
      <w:r>
        <w:t>Les stratégies suspendues ou non certifiées ne peuvent pas revenir en production automatiquement.</w:t>
      </w:r>
    </w:p>
    <w:p>
      <w:pPr>
        <w:pStyle w:val="Heading1"/>
      </w:pPr>
      <w:r>
        <w:t>13. MODES OPÉRATIONNELS</w:t>
      </w:r>
    </w:p>
    <w:p>
      <w:pPr>
        <w:pStyle w:val="ListBullet"/>
      </w:pPr>
      <w:r>
        <w:t>OFFLINE → INITIALIZING → VERIFYING → PAPER → LIMITED_LIVE → LIVE.</w:t>
      </w:r>
    </w:p>
    <w:p>
      <w:pPr>
        <w:pStyle w:val="ListBullet"/>
      </w:pPr>
      <w:r>
        <w:t>États de protection : DEGRADED → DEFENSIVE → EMERGENCY → HALTED.</w:t>
      </w:r>
    </w:p>
    <w:p>
      <w:pPr>
        <w:pStyle w:val="ListBullet"/>
      </w:pPr>
      <w:r>
        <w:t>Après crash ou redémarrage : aucune reprise LIVE automatique.</w:t>
      </w:r>
    </w:p>
    <w:p>
      <w:pPr>
        <w:pStyle w:val="ListBullet"/>
      </w:pPr>
      <w:r>
        <w:t>Reprise obligatoire : récupération de l’état réel → réconciliation → vérification des protections → réautorisation.</w:t>
      </w:r>
    </w:p>
    <w:p>
      <w:pPr>
        <w:pStyle w:val="Heading1"/>
      </w:pPr>
      <w:r>
        <w:t>14. KILL SWITCH ET CIRCUIT BREAKERS</w:t>
      </w:r>
    </w:p>
    <w:p>
      <w:pPr>
        <w:pStyle w:val="ListBullet"/>
      </w:pPr>
      <w:r>
        <w:t>Niveau PAUSE : blocage des nouveaux trades.</w:t>
      </w:r>
    </w:p>
    <w:p>
      <w:pPr>
        <w:pStyle w:val="ListBullet"/>
      </w:pPr>
      <w:r>
        <w:t>Niveau DEFENSIVE : blocage des nouveaux trades, annulation des ordres non essentiels, réduction du risque et vérification des protections.</w:t>
      </w:r>
    </w:p>
    <w:p>
      <w:pPr>
        <w:pStyle w:val="ListBullet"/>
      </w:pPr>
      <w:r>
        <w:t>Niveau EMERGENCY : isolement des sources externes, blocage de l’exécution, réconciliation et application de la politique d’urgence.</w:t>
      </w:r>
    </w:p>
    <w:p>
      <w:pPr>
        <w:pStyle w:val="ListBullet"/>
      </w:pPr>
      <w:r>
        <w:t>Les erreurs répétées doivent déclencher un circuit breaker plutôt qu’une boucle de retry infinie.</w:t>
      </w:r>
    </w:p>
    <w:p>
      <w:pPr>
        <w:pStyle w:val="Heading1"/>
      </w:pPr>
      <w:r>
        <w:t>15. CERTIFICATION DES STRATÉGIES</w:t>
      </w:r>
    </w:p>
    <w:p>
      <w:pPr>
        <w:pStyle w:val="ListBullet"/>
      </w:pPr>
      <w:r>
        <w:t>GATE 1 : qualité des données.</w:t>
      </w:r>
    </w:p>
    <w:p>
      <w:pPr>
        <w:pStyle w:val="ListBullet"/>
      </w:pPr>
      <w:r>
        <w:t>GATE 2 : cohérence logique de la stratégie.</w:t>
      </w:r>
    </w:p>
    <w:p>
      <w:pPr>
        <w:pStyle w:val="ListBullet"/>
      </w:pPr>
      <w:r>
        <w:t>GATE 3 : réalisme du backtest.</w:t>
      </w:r>
    </w:p>
    <w:p>
      <w:pPr>
        <w:pStyle w:val="ListBullet"/>
      </w:pPr>
      <w:r>
        <w:t>GATE 4 : out-of-sample.</w:t>
      </w:r>
    </w:p>
    <w:p>
      <w:pPr>
        <w:pStyle w:val="ListBullet"/>
      </w:pPr>
      <w:r>
        <w:t>GATE 5 : walk-forward.</w:t>
      </w:r>
    </w:p>
    <w:p>
      <w:pPr>
        <w:pStyle w:val="ListBullet"/>
      </w:pPr>
      <w:r>
        <w:t>GATE 6 : Monte Carlo / stress quantitatif.</w:t>
      </w:r>
    </w:p>
    <w:p>
      <w:pPr>
        <w:pStyle w:val="ListBullet"/>
      </w:pPr>
      <w:r>
        <w:t>GATE 7 : chaos testing.</w:t>
      </w:r>
    </w:p>
    <w:p>
      <w:pPr>
        <w:pStyle w:val="ListBullet"/>
      </w:pPr>
      <w:r>
        <w:t>GATE 8 : paper trading.</w:t>
      </w:r>
    </w:p>
    <w:p>
      <w:pPr>
        <w:pStyle w:val="ListBullet"/>
      </w:pPr>
      <w:r>
        <w:t>GATE 9 : micro-live contrôlé.</w:t>
      </w:r>
    </w:p>
    <w:p>
      <w:pPr>
        <w:pStyle w:val="ListBullet"/>
      </w:pPr>
      <w:r>
        <w:t>Chaque certificat indique version, paramètres, marchés, périodes testées, résultats et date d’expiration.</w:t>
      </w:r>
    </w:p>
    <w:p>
      <w:pPr>
        <w:pStyle w:val="Heading1"/>
      </w:pPr>
      <w:r>
        <w:t>16. ANTI-OVERFITTING ET STRATEGY GRAVEYARD</w:t>
      </w:r>
    </w:p>
    <w:p>
      <w:pPr>
        <w:pStyle w:val="ListBullet"/>
      </w:pPr>
      <w:r>
        <w:t>Toute stratégie doit enregistrer le nombre de variantes et paramètres explorés.</w:t>
      </w:r>
    </w:p>
    <w:p>
      <w:pPr>
        <w:pStyle w:val="ListBullet"/>
      </w:pPr>
      <w:r>
        <w:t>Les stratégies rejetées sont conservées avec leur raison d’échec.</w:t>
      </w:r>
    </w:p>
    <w:p>
      <w:pPr>
        <w:pStyle w:val="ListBullet"/>
      </w:pPr>
      <w:r>
        <w:t>Une stratégie ne doit pas être reconstruite sans consulter son historique de rejet.</w:t>
      </w:r>
    </w:p>
    <w:p>
      <w:pPr>
        <w:pStyle w:val="ListBullet"/>
      </w:pPr>
      <w:r>
        <w:t>Un résultat historique exceptionnel sans robustesse hors échantillon n’est pas une autorisation de passage en réel.</w:t>
      </w:r>
    </w:p>
    <w:p>
      <w:pPr>
        <w:pStyle w:val="Heading1"/>
      </w:pPr>
      <w:r>
        <w:t>17. STRATEGY DRIFT DETECTION</w:t>
      </w:r>
    </w:p>
    <w:p>
      <w:pPr>
        <w:pStyle w:val="ListBullet"/>
      </w:pPr>
      <w:r>
        <w:t>Le système compare performance attendue et performance live.</w:t>
      </w:r>
    </w:p>
    <w:p>
      <w:pPr>
        <w:pStyle w:val="ListBullet"/>
      </w:pPr>
      <w:r>
        <w:t>Variables surveillées : win rate, expectancy, drawdown, fréquence des signaux, slippage et régime de marché.</w:t>
      </w:r>
    </w:p>
    <w:p>
      <w:pPr>
        <w:pStyle w:val="ListBullet"/>
      </w:pPr>
      <w:r>
        <w:t>États : NORMAL → WATCH → REDUCED RISK → PAPER MODE → SUSPENDED.</w:t>
      </w:r>
    </w:p>
    <w:p>
      <w:pPr>
        <w:pStyle w:val="ListBullet"/>
      </w:pPr>
      <w:r>
        <w:t>La suspension doit privilégier l’analyse statistique plutôt qu’une réaction émotionnelle à quelques pertes.</w:t>
      </w:r>
    </w:p>
    <w:p>
      <w:pPr>
        <w:pStyle w:val="Heading1"/>
      </w:pPr>
      <w:r>
        <w:t>18. AUDIT, JOURNAL ET TRAÇABILITÉ</w:t>
      </w:r>
    </w:p>
    <w:p>
      <w:pPr>
        <w:pStyle w:val="ListBullet"/>
      </w:pPr>
      <w:r>
        <w:t>Chaque Trade Envelope doit conserver : identifiant, timestamp, actif, direction, stratégie, régime de marché, qualité des données, conditions d’entrée, invalidation, stop, taille, risque, exposition et statut d’autorisation.</w:t>
      </w:r>
    </w:p>
    <w:p>
      <w:pPr>
        <w:pStyle w:val="ListBullet"/>
      </w:pPr>
      <w:r>
        <w:t>Chaque événement critique est journalisé.</w:t>
      </w:r>
    </w:p>
    <w:p>
      <w:pPr>
        <w:pStyle w:val="ListBullet"/>
      </w:pPr>
      <w:r>
        <w:t>Les décisions doivent être reproductibles autant que possible.</w:t>
      </w:r>
    </w:p>
    <w:p>
      <w:pPr>
        <w:pStyle w:val="ListBullet"/>
      </w:pPr>
      <w:r>
        <w:t>L’audit ne doit pas dépendre uniquement de la mémoire d’un module IA.</w:t>
      </w:r>
    </w:p>
    <w:p>
      <w:pPr>
        <w:pStyle w:val="Heading1"/>
      </w:pPr>
      <w:r>
        <w:t>19. MINIMUM SAFE CORE</w:t>
      </w:r>
    </w:p>
    <w:p>
      <w:pPr>
        <w:pStyle w:val="ListBullet"/>
      </w:pPr>
      <w:r>
        <w:t>Même si les modules avancés échouent, les fonctions minimales de sécurité doivent rester opérationnelles : validation des données, état réel des positions, limites de risque, vérification des protections et Kill Switch.</w:t>
      </w:r>
    </w:p>
    <w:p>
      <w:pPr>
        <w:pStyle w:val="ListBullet"/>
      </w:pPr>
      <w:r>
        <w:t>En cas de panne des modules avancés : aucun nouveau trade autonome ; protection des positions existantes.</w:t>
      </w:r>
    </w:p>
    <w:p>
      <w:pPr>
        <w:pStyle w:val="Heading1"/>
      </w:pPr>
      <w:r>
        <w:t>20. RÈGLE DE MODIFICATION DU RULEBOOK</w:t>
      </w:r>
    </w:p>
    <w:p>
      <w:pPr>
        <w:pStyle w:val="ListBullet"/>
      </w:pPr>
      <w:r>
        <w:t>Toute modification doit recevoir un numéro de version.</w:t>
      </w:r>
    </w:p>
    <w:p>
      <w:pPr>
        <w:pStyle w:val="ListBullet"/>
      </w:pPr>
      <w:r>
        <w:t>Elle doit décrire : règle modifiée, raison, impact attendu, risques introduits et tests nécessaires.</w:t>
      </w:r>
    </w:p>
    <w:p>
      <w:pPr>
        <w:pStyle w:val="ListBullet"/>
      </w:pPr>
      <w:r>
        <w:t>Aucune modification de sécurité critique ne doit être appliquée directement en production sans validation.</w:t>
      </w:r>
    </w:p>
    <w:p>
      <w:pPr>
        <w:pStyle w:val="ListBullet"/>
      </w:pPr>
      <w:r>
        <w:t>Le Rulebook reste prioritaire sur les préférences d’une stratégie individuelle.</w:t>
      </w:r>
    </w:p>
    <w:p>
      <w:pPr>
        <w:pStyle w:val="Heading1"/>
      </w:pPr>
      <w:r>
        <w:t>ANNEXE A — PIPELINE OFFICIEL</w:t>
      </w:r>
    </w:p>
    <w:p>
      <w:pPr>
        <w:pStyle w:val="ListBullet"/>
      </w:pPr>
      <w:r>
        <w:t>MARKET DATA → DATA VALIDATION → MARKET REGIME → STRATEGY ANALYSIS → CONFIDENCE CHECK → PORTFOLIO RISK → EXECUTION AUTHORIZATION → ORDER → RECONCILIATION → PROTECTION VERIFICATION → AUDIT.</w:t>
      </w:r>
    </w:p>
    <w:p>
      <w:pPr>
        <w:pStyle w:val="Heading1"/>
      </w:pPr>
      <w:r>
        <w:t>ANNEXE B — PRINCIPE FINAL</w:t>
      </w:r>
    </w:p>
    <w:p>
      <w:pPr>
        <w:pStyle w:val="ListBullet"/>
      </w:pPr>
      <w:r>
        <w:t>UNKNOWN STATE = STOP.</w:t>
      </w:r>
    </w:p>
    <w:p>
      <w:pPr>
        <w:pStyle w:val="ListBullet"/>
      </w:pPr>
      <w:r>
        <w:t>REALITY OVERRIDES INTENTION.</w:t>
      </w:r>
    </w:p>
    <w:p>
      <w:pPr>
        <w:pStyle w:val="ListBullet"/>
      </w:pPr>
      <w:r>
        <w:t>EXTERNAL AI CAN PROPOSE — NOT COMMAND.</w:t>
      </w:r>
    </w:p>
    <w:p>
      <w:pPr>
        <w:pStyle w:val="ListBullet"/>
      </w:pPr>
      <w:r>
        <w:t>NO NEW TRADE WITHOUT VERIFIED DATA.</w:t>
      </w:r>
    </w:p>
    <w:p>
      <w:pPr>
        <w:pStyle w:val="ListBullet"/>
      </w:pPr>
      <w:r>
        <w:t>NO LIVE WITHOUT CERTIFICATION.</w:t>
      </w:r>
    </w:p>
    <w:p>
      <w:pPr>
        <w:pStyle w:val="ListBullet"/>
      </w:pPr>
      <w:r>
        <w:t>CAPITAL SURVIVAL BEFORE PERFORMANCE.</w:t>
      </w:r>
    </w:p>
    <w:p>
      <w:r>
        <w:br w:type="page"/>
      </w:r>
    </w:p>
    <w:p>
      <w:pPr>
        <w:pStyle w:val="Heading1"/>
      </w:pPr>
      <w:r>
        <w:t>FICHE DE CONTRÔLE AVANT PASSAGE EN LIVE</w:t>
      </w:r>
    </w:p>
    <w:p>
      <w:r>
        <w:t>□ Stratégie certifiée et certificat valide</w:t>
      </w:r>
    </w:p>
    <w:p>
      <w:r>
        <w:t>□ Données validées et non obsolètes</w:t>
      </w:r>
    </w:p>
    <w:p>
      <w:r>
        <w:t>□ Paramètres de risque vérifiés</w:t>
      </w:r>
    </w:p>
    <w:p>
      <w:r>
        <w:t>□ État réel du compte réconcilié</w:t>
      </w:r>
    </w:p>
    <w:p>
      <w:r>
        <w:t>□ Ordres ouverts connus</w:t>
      </w:r>
    </w:p>
    <w:p>
      <w:r>
        <w:t>□ Stops et protections vérifiés</w:t>
      </w:r>
    </w:p>
    <w:p>
      <w:r>
        <w:t>□ Permissions API minimales</w:t>
      </w:r>
    </w:p>
    <w:p>
      <w:r>
        <w:t>□ Retrait API désactivé</w:t>
      </w:r>
    </w:p>
    <w:p>
      <w:r>
        <w:t>□ Kill Switch opérationnel</w:t>
      </w:r>
    </w:p>
    <w:p>
      <w:r>
        <w:t>□ Journalisation active</w:t>
      </w:r>
    </w:p>
    <w:p>
      <w:r>
        <w:t>□ Circuit breakers testés</w:t>
      </w:r>
    </w:p>
    <w:p>
      <w:r>
        <w:t>□ Paper trading / micro-live validé</w:t>
      </w:r>
    </w:p>
    <w:p>
      <w:r>
        <w:br/>
        <w:t>Document de travail technique. Ce Rulebook ne constitue pas un conseil financier ni une garantie de performance.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