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jc w:val="center"/>
        <w:rPr>
          <w:b w:val="1"/>
          <w:color w:val="ff0000"/>
          <w:sz w:val="34"/>
          <w:szCs w:val="34"/>
          <w:u w:val="single"/>
        </w:rPr>
      </w:pPr>
      <w:r w:rsidDel="00000000" w:rsidR="00000000" w:rsidRPr="00000000">
        <w:rPr>
          <w:b w:val="1"/>
          <w:color w:val="ff0000"/>
          <w:sz w:val="34"/>
          <w:szCs w:val="34"/>
          <w:u w:val="single"/>
          <w:rtl w:val="0"/>
        </w:rPr>
        <w:t xml:space="preserve">Rapport de Séance 15/02/2024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Nous avons conçu une seconde version du 3D avec des améliorations majeures tant dans les liaisons que dans les impressions en elles-mêmes. Les PCB seront bloqués à l’arrière des moteurs avec un appuie plan par une pièce imprimée et fixée avec des vis.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3514725</wp:posOffset>
            </wp:positionH>
            <wp:positionV relativeFrom="paragraph">
              <wp:posOffset>947003</wp:posOffset>
            </wp:positionV>
            <wp:extent cx="3080272" cy="3226952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0272" cy="322695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Nous avons aussi essayé de souder les dernières PCB sans succès, le circuit intégré principal est trop petit pour pouvoir le souder avec le pistolet à air chaud ou le four pour les PCB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