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安装说明书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解锁后手机，准备好XAP安装包。</w:t>
      </w: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Chars="0" w:right="0" w:rightChars="0" w:firstLine="420" w:firstLineChars="0"/>
        <w:jc w:val="left"/>
        <w:textAlignment w:val="auto"/>
        <w:outlineLvl w:val="0"/>
      </w:pPr>
      <w:r>
        <w:drawing>
          <wp:inline distT="0" distB="0" distL="114300" distR="114300">
            <wp:extent cx="1150620" cy="1447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 windows phone Application Deployment 如图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35575" cy="43287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32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浏览添加刚才的XAP文件，目标到Device，启动部署。提示部署完成，部署成功。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使用指南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初始界面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859280" cy="3002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商品导航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1874520" cy="3002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寻找商场货架上的位置二维码扫描。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1866900" cy="29794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输入商品名称，点击显示路径。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1859280" cy="2918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点击显示显示路径，根据路径找到商品点击返回。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三．商品信息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1874520" cy="3002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扫描商品上的条形码。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1828800" cy="29337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点击商品信息查看商品信息，点击加入购物车，控制购物车打开放入商品或点击返回回到主界面。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1866900" cy="300228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购物成功，点击查看清单，查看购物清单。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1874520" cy="299466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购物失败，点击返回主界面，回到主界面，或点击从新扫描二维码重新扫描二维码购买商品。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购物清单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836420" cy="293370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点击返回，回到主界面，点击结账，进行接账。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2026920" cy="326136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支付完成后，点击确定，打开购物车锁，购物完成。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五．</w:t>
      </w:r>
      <w:r>
        <w:rPr>
          <w:rFonts w:hint="eastAsia"/>
          <w:b/>
          <w:bCs/>
          <w:sz w:val="24"/>
          <w:szCs w:val="24"/>
          <w:lang w:val="en-US" w:eastAsia="zh-CN"/>
        </w:rPr>
        <w:t>连接蓝牙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1935480" cy="3063240"/>
            <wp:effectExtent l="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点击显示的蓝牙设备，连接成功弹窗点击确定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3A54"/>
    <w:multiLevelType w:val="singleLevel"/>
    <w:tmpl w:val="58E63A5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E63F2C"/>
    <w:multiLevelType w:val="singleLevel"/>
    <w:tmpl w:val="58E63F2C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E6442E"/>
    <w:multiLevelType w:val="singleLevel"/>
    <w:tmpl w:val="58E6442E"/>
    <w:lvl w:ilvl="0" w:tentative="0">
      <w:start w:val="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F4B98"/>
    <w:rsid w:val="067F4B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2017-04-06T12:45:00Z</dcterms:created>
  <dc:creator>Administrator</dc:creator>
  <cp:lastModifiedBy>Administrator</cp:lastModifiedBy>
  <dcterms:modified xsi:type="dcterms:W3CDTF">2017-04-06T13:41:54Z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