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Default="00B65E3A" w:rsidP="00B65E3A">
      <w:pPr>
        <w:pStyle w:val="berschrift1"/>
      </w:pPr>
      <w:r>
        <w:t>Anschaffungskosten</w:t>
      </w:r>
    </w:p>
    <w:p w:rsidR="00B65E3A" w:rsidRDefault="00B65E3A" w:rsidP="00B65E3A">
      <w:r>
        <w:t>§255 HGB (1)</w:t>
      </w:r>
    </w:p>
    <w:p w:rsidR="00B65E3A" w:rsidRDefault="00B65E3A" w:rsidP="00B65E3A">
      <w:r>
        <w:t>Anschaffungskosten sind Kosten für Erwerb und Inbetriebnahme eines Vermögensgegenstandes. Dazu gehören auch Nebenkosten und nachträgliche Anschaffungskosten, Abzuziehe</w:t>
      </w:r>
      <w:bookmarkStart w:id="0" w:name="_GoBack"/>
      <w:bookmarkEnd w:id="0"/>
      <w:r>
        <w:t>n sind Skonti, Boni und Nachlässe.</w:t>
      </w:r>
    </w:p>
    <w:p w:rsidR="00B65E3A" w:rsidRPr="00B65E3A" w:rsidRDefault="00B65E3A" w:rsidP="00B65E3A">
      <w:r>
        <w:t>Nicht abzugsfähige Vorsteuer gehört auch zu den Anschaffungskosten. Abziehbare Vorsteuer und Finanzierungskosten gehören nicht zu den Anschaffungskosten.</w:t>
      </w:r>
    </w:p>
    <w:sectPr w:rsidR="00B65E3A" w:rsidRPr="00B65E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155"/>
    <w:rsid w:val="00102155"/>
    <w:rsid w:val="002F2976"/>
    <w:rsid w:val="00805FED"/>
    <w:rsid w:val="00B6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5E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5E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65E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65E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335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2</cp:revision>
  <dcterms:created xsi:type="dcterms:W3CDTF">2018-07-01T13:56:00Z</dcterms:created>
  <dcterms:modified xsi:type="dcterms:W3CDTF">2018-07-01T13:57:00Z</dcterms:modified>
</cp:coreProperties>
</file>