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E1" w:rsidRPr="008D07E1" w:rsidRDefault="008D07E1" w:rsidP="008D07E1">
      <w:pPr>
        <w:shd w:val="clear" w:color="auto" w:fill="FFFFFF"/>
        <w:spacing w:before="75" w:after="0" w:line="240" w:lineRule="auto"/>
        <w:outlineLvl w:val="4"/>
        <w:rPr>
          <w:rFonts w:ascii="Verdana" w:eastAsia="Times New Roman" w:hAnsi="Verdana" w:cs="Times New Roman"/>
          <w:b/>
          <w:bCs/>
          <w:color w:val="1C84C6"/>
          <w:sz w:val="18"/>
          <w:szCs w:val="18"/>
          <w:lang w:eastAsia="de-DE"/>
        </w:rPr>
      </w:pPr>
      <w:r w:rsidRPr="008D07E1">
        <w:rPr>
          <w:rFonts w:ascii="Verdana" w:eastAsia="Times New Roman" w:hAnsi="Verdana" w:cs="Times New Roman"/>
          <w:b/>
          <w:bCs/>
          <w:color w:val="1C84C6"/>
          <w:sz w:val="18"/>
          <w:szCs w:val="18"/>
          <w:lang w:eastAsia="de-DE"/>
        </w:rPr>
        <w:t>Aufgabenstellung</w:t>
      </w:r>
    </w:p>
    <w:p w:rsidR="008D07E1" w:rsidRPr="008D07E1" w:rsidRDefault="008D07E1" w:rsidP="008D07E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76A6C"/>
          <w:sz w:val="20"/>
          <w:szCs w:val="20"/>
          <w:lang w:eastAsia="de-DE"/>
        </w:rPr>
      </w:pPr>
      <w:r w:rsidRPr="008D07E1">
        <w:rPr>
          <w:rFonts w:ascii="Verdana" w:eastAsia="Times New Roman" w:hAnsi="Verdana" w:cs="Times New Roman"/>
          <w:color w:val="676A6C"/>
          <w:sz w:val="20"/>
          <w:szCs w:val="20"/>
          <w:lang w:eastAsia="de-DE"/>
        </w:rPr>
        <w:t>Von einem Rohstoff wurden am 5. Januar 40 Einheiten zu 100,- € und am 15. Januar 60 Einheiten zu 120,- € beschafft. Der Anfangsbestand des Lagers betrug 20 Einheiten und hatte einen Gesamtwert von 1.900,- €. Am 12. Januar erfolgte ein Lagerabgang von 30 Einheiten und am 18. Januar ein Lagerabgang von 50 Einheiten.</w:t>
      </w:r>
      <w:r w:rsidRPr="008D07E1">
        <w:rPr>
          <w:rFonts w:ascii="Verdana" w:eastAsia="Times New Roman" w:hAnsi="Verdana" w:cs="Times New Roman"/>
          <w:color w:val="676A6C"/>
          <w:sz w:val="20"/>
          <w:szCs w:val="20"/>
          <w:lang w:eastAsia="de-DE"/>
        </w:rPr>
        <w:br/>
      </w:r>
      <w:r w:rsidRPr="008D07E1">
        <w:rPr>
          <w:rFonts w:ascii="Verdana" w:eastAsia="Times New Roman" w:hAnsi="Verdana" w:cs="Times New Roman"/>
          <w:color w:val="676A6C"/>
          <w:sz w:val="20"/>
          <w:szCs w:val="20"/>
          <w:lang w:eastAsia="de-DE"/>
        </w:rPr>
        <w:br/>
        <w:t>a) Welchen Wert pro Einheit haben die vom Lager abgehenden Materialverbrauchsmengen, wenn die am Lager befindlichen Materialmengen mittels der permanenten Durchschnittspreisbildung bewertet werden? (10 Punkte)</w:t>
      </w:r>
      <w:r w:rsidRPr="008D07E1">
        <w:rPr>
          <w:rFonts w:ascii="Verdana" w:eastAsia="Times New Roman" w:hAnsi="Verdana" w:cs="Times New Roman"/>
          <w:color w:val="676A6C"/>
          <w:sz w:val="20"/>
          <w:szCs w:val="20"/>
          <w:lang w:eastAsia="de-DE"/>
        </w:rPr>
        <w:br/>
        <w:t>b) Bietet der Ansatz rollender Durchschnittspreise eine geeignete Vergleichsgrundlage für eine Wirtschaftlichkeitskontrolle? (5 Punkte)</w:t>
      </w:r>
      <w:r w:rsidRPr="008D07E1">
        <w:rPr>
          <w:rFonts w:ascii="Verdana" w:eastAsia="Times New Roman" w:hAnsi="Verdana" w:cs="Times New Roman"/>
          <w:color w:val="676A6C"/>
          <w:sz w:val="20"/>
          <w:szCs w:val="20"/>
          <w:lang w:eastAsia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D07E1" w:rsidTr="00F173DF">
        <w:tc>
          <w:tcPr>
            <w:tcW w:w="2303" w:type="dxa"/>
            <w:shd w:val="clear" w:color="auto" w:fill="D9D9D9" w:themeFill="background1" w:themeFillShade="D9"/>
          </w:tcPr>
          <w:p w:rsidR="008D07E1" w:rsidRDefault="008D07E1">
            <w:r>
              <w:t>Datum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8D07E1" w:rsidRDefault="008D07E1">
            <w:r>
              <w:t>Bewegungen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8D07E1" w:rsidRDefault="008D07E1">
            <w:r>
              <w:t>Einheiten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8D07E1" w:rsidRDefault="008D07E1">
            <w:r>
              <w:t>€/Einheit</w:t>
            </w:r>
          </w:p>
        </w:tc>
      </w:tr>
      <w:tr w:rsidR="008D07E1" w:rsidTr="008D07E1">
        <w:tc>
          <w:tcPr>
            <w:tcW w:w="2303" w:type="dxa"/>
          </w:tcPr>
          <w:p w:rsidR="008D07E1" w:rsidRDefault="008D07E1">
            <w:r>
              <w:t>-</w:t>
            </w:r>
          </w:p>
        </w:tc>
        <w:tc>
          <w:tcPr>
            <w:tcW w:w="2303" w:type="dxa"/>
          </w:tcPr>
          <w:p w:rsidR="008D07E1" w:rsidRDefault="008D07E1">
            <w:r>
              <w:t>Anfangszustand</w:t>
            </w:r>
          </w:p>
        </w:tc>
        <w:tc>
          <w:tcPr>
            <w:tcW w:w="2303" w:type="dxa"/>
          </w:tcPr>
          <w:p w:rsidR="008D07E1" w:rsidRDefault="008D07E1">
            <w:r>
              <w:t>20</w:t>
            </w:r>
          </w:p>
        </w:tc>
        <w:tc>
          <w:tcPr>
            <w:tcW w:w="2303" w:type="dxa"/>
          </w:tcPr>
          <w:p w:rsidR="008D07E1" w:rsidRDefault="008D07E1">
            <w:r>
              <w:t>95,00</w:t>
            </w:r>
          </w:p>
        </w:tc>
      </w:tr>
      <w:tr w:rsidR="008D07E1" w:rsidTr="00CB0B53">
        <w:tc>
          <w:tcPr>
            <w:tcW w:w="2303" w:type="dxa"/>
          </w:tcPr>
          <w:p w:rsidR="008D07E1" w:rsidRDefault="008D07E1" w:rsidP="00CB0B53">
            <w:r>
              <w:t>05.01.</w:t>
            </w:r>
          </w:p>
        </w:tc>
        <w:tc>
          <w:tcPr>
            <w:tcW w:w="2303" w:type="dxa"/>
          </w:tcPr>
          <w:p w:rsidR="008D07E1" w:rsidRDefault="008D07E1" w:rsidP="00CB0B53">
            <w:r>
              <w:t>Zugang</w:t>
            </w:r>
          </w:p>
        </w:tc>
        <w:tc>
          <w:tcPr>
            <w:tcW w:w="2303" w:type="dxa"/>
          </w:tcPr>
          <w:p w:rsidR="008D07E1" w:rsidRDefault="008D07E1" w:rsidP="00CB0B53">
            <w:r>
              <w:t>40</w:t>
            </w:r>
          </w:p>
        </w:tc>
        <w:tc>
          <w:tcPr>
            <w:tcW w:w="2303" w:type="dxa"/>
          </w:tcPr>
          <w:p w:rsidR="008D07E1" w:rsidRDefault="008D07E1" w:rsidP="00CB0B53">
            <w:r>
              <w:t>100,00</w:t>
            </w:r>
          </w:p>
        </w:tc>
      </w:tr>
      <w:tr w:rsidR="008D07E1" w:rsidTr="008D07E1">
        <w:tc>
          <w:tcPr>
            <w:tcW w:w="2303" w:type="dxa"/>
          </w:tcPr>
          <w:p w:rsidR="008D07E1" w:rsidRDefault="008D07E1">
            <w:r>
              <w:t>12.01.</w:t>
            </w:r>
          </w:p>
        </w:tc>
        <w:tc>
          <w:tcPr>
            <w:tcW w:w="2303" w:type="dxa"/>
          </w:tcPr>
          <w:p w:rsidR="008D07E1" w:rsidRDefault="008D07E1">
            <w:r>
              <w:t>Verbrauch</w:t>
            </w:r>
          </w:p>
        </w:tc>
        <w:tc>
          <w:tcPr>
            <w:tcW w:w="2303" w:type="dxa"/>
          </w:tcPr>
          <w:p w:rsidR="008D07E1" w:rsidRDefault="008D07E1">
            <w:r>
              <w:t>30</w:t>
            </w:r>
          </w:p>
        </w:tc>
        <w:tc>
          <w:tcPr>
            <w:tcW w:w="2303" w:type="dxa"/>
          </w:tcPr>
          <w:p w:rsidR="008D07E1" w:rsidRDefault="008D07E1">
            <w:r>
              <w:t>-</w:t>
            </w:r>
          </w:p>
        </w:tc>
      </w:tr>
      <w:tr w:rsidR="006C69EE" w:rsidTr="00CB0B53">
        <w:tc>
          <w:tcPr>
            <w:tcW w:w="2303" w:type="dxa"/>
          </w:tcPr>
          <w:p w:rsidR="006C69EE" w:rsidRDefault="006C69EE" w:rsidP="00CB0B53">
            <w:r>
              <w:t>15.01.</w:t>
            </w:r>
          </w:p>
        </w:tc>
        <w:tc>
          <w:tcPr>
            <w:tcW w:w="2303" w:type="dxa"/>
          </w:tcPr>
          <w:p w:rsidR="006C69EE" w:rsidRDefault="006C69EE" w:rsidP="00CB0B53">
            <w:r>
              <w:t>Zugang</w:t>
            </w:r>
          </w:p>
        </w:tc>
        <w:tc>
          <w:tcPr>
            <w:tcW w:w="2303" w:type="dxa"/>
          </w:tcPr>
          <w:p w:rsidR="006C69EE" w:rsidRDefault="006C69EE" w:rsidP="00CB0B53">
            <w:r>
              <w:t>60</w:t>
            </w:r>
          </w:p>
        </w:tc>
        <w:tc>
          <w:tcPr>
            <w:tcW w:w="2303" w:type="dxa"/>
          </w:tcPr>
          <w:p w:rsidR="006C69EE" w:rsidRDefault="006C69EE" w:rsidP="00CB0B53">
            <w:r>
              <w:t>120</w:t>
            </w:r>
          </w:p>
        </w:tc>
      </w:tr>
      <w:tr w:rsidR="008D07E1" w:rsidTr="008D07E1">
        <w:tc>
          <w:tcPr>
            <w:tcW w:w="2303" w:type="dxa"/>
          </w:tcPr>
          <w:p w:rsidR="008D07E1" w:rsidRDefault="008D07E1">
            <w:r>
              <w:t>18.01.</w:t>
            </w:r>
          </w:p>
        </w:tc>
        <w:tc>
          <w:tcPr>
            <w:tcW w:w="2303" w:type="dxa"/>
          </w:tcPr>
          <w:p w:rsidR="008D07E1" w:rsidRDefault="008D07E1">
            <w:r>
              <w:t>Verbrauch</w:t>
            </w:r>
          </w:p>
        </w:tc>
        <w:tc>
          <w:tcPr>
            <w:tcW w:w="2303" w:type="dxa"/>
          </w:tcPr>
          <w:p w:rsidR="008D07E1" w:rsidRDefault="008D07E1">
            <w:r>
              <w:t>50</w:t>
            </w:r>
          </w:p>
        </w:tc>
        <w:tc>
          <w:tcPr>
            <w:tcW w:w="2303" w:type="dxa"/>
          </w:tcPr>
          <w:p w:rsidR="008D07E1" w:rsidRDefault="008D07E1">
            <w:r>
              <w:t>-</w:t>
            </w:r>
          </w:p>
        </w:tc>
      </w:tr>
    </w:tbl>
    <w:p w:rsidR="00F173DF" w:rsidRDefault="00F173DF" w:rsidP="00F173DF">
      <w:pPr>
        <w:pStyle w:val="KeinLeerraum"/>
      </w:pPr>
    </w:p>
    <w:p w:rsidR="00F173DF" w:rsidRDefault="00F173DF" w:rsidP="00F173DF">
      <w:pPr>
        <w:pStyle w:val="Listenabsatz"/>
        <w:numPr>
          <w:ilvl w:val="0"/>
          <w:numId w:val="1"/>
        </w:numPr>
        <w:rPr>
          <w:b/>
          <w:u w:val="single"/>
        </w:rPr>
      </w:pPr>
      <w:r w:rsidRPr="00F173DF">
        <w:rPr>
          <w:b/>
          <w:u w:val="single"/>
        </w:rPr>
        <w:t xml:space="preserve">Permanente Bestandsbewertung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8"/>
        <w:gridCol w:w="1428"/>
        <w:gridCol w:w="1429"/>
        <w:gridCol w:w="2041"/>
      </w:tblGrid>
      <w:tr w:rsidR="003F2C22" w:rsidRPr="002F01DC" w:rsidTr="003F2C22">
        <w:tc>
          <w:tcPr>
            <w:tcW w:w="1427" w:type="dxa"/>
            <w:shd w:val="clear" w:color="auto" w:fill="D9D9D9" w:themeFill="background1" w:themeFillShade="D9"/>
          </w:tcPr>
          <w:p w:rsidR="003F2C22" w:rsidRPr="002F01DC" w:rsidRDefault="003F2C22" w:rsidP="00F173DF">
            <w:pPr>
              <w:pStyle w:val="Listenabsatz"/>
              <w:ind w:left="0"/>
            </w:pPr>
            <w:r w:rsidRPr="002F01DC">
              <w:t>Datum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3F2C22" w:rsidRPr="002F01DC" w:rsidRDefault="003F2C22" w:rsidP="00F173DF">
            <w:pPr>
              <w:pStyle w:val="Listenabsatz"/>
              <w:ind w:left="0"/>
            </w:pPr>
            <w:r w:rsidRPr="002F01DC">
              <w:t>Bestände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3F2C22" w:rsidRPr="002F01DC" w:rsidRDefault="003F2C22" w:rsidP="00F173DF">
            <w:pPr>
              <w:pStyle w:val="Listenabsatz"/>
              <w:ind w:left="0"/>
            </w:pPr>
            <w:r w:rsidRPr="002F01DC">
              <w:t>Zugang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3F2C22" w:rsidRPr="002F01DC" w:rsidRDefault="003F2C22" w:rsidP="00F173DF">
            <w:pPr>
              <w:pStyle w:val="Listenabsatz"/>
              <w:ind w:left="0"/>
            </w:pPr>
            <w:r w:rsidRPr="002F01DC">
              <w:t>Abgang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3F2C22" w:rsidRPr="002F01DC" w:rsidRDefault="003F2C22" w:rsidP="00F173DF">
            <w:pPr>
              <w:pStyle w:val="Listenabsatz"/>
              <w:ind w:left="0"/>
            </w:pPr>
            <w:r w:rsidRPr="002F01DC">
              <w:t>Wert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:rsidR="003F2C22" w:rsidRPr="002F01DC" w:rsidRDefault="003F2C22" w:rsidP="00F173DF">
            <w:pPr>
              <w:pStyle w:val="Listenabsatz"/>
              <w:ind w:left="0"/>
            </w:pPr>
            <w:r w:rsidRPr="002F01DC">
              <w:rPr>
                <w:rFonts w:ascii="Verdana" w:hAnsi="Verdana"/>
                <w:bCs/>
                <w:color w:val="3D6589"/>
                <w:sz w:val="18"/>
                <w:szCs w:val="18"/>
                <w:shd w:val="clear" w:color="auto" w:fill="F3F3F4"/>
              </w:rPr>
              <w:t>Ø</w:t>
            </w:r>
            <w:r w:rsidRPr="002F01DC">
              <w:rPr>
                <w:rFonts w:ascii="Verdana" w:hAnsi="Verdana"/>
                <w:bCs/>
                <w:color w:val="3D6589"/>
                <w:sz w:val="18"/>
                <w:szCs w:val="18"/>
                <w:shd w:val="clear" w:color="auto" w:fill="F3F3F4"/>
              </w:rPr>
              <w:t xml:space="preserve"> </w:t>
            </w:r>
            <w:r w:rsidRPr="002F01DC">
              <w:t>Wert</w:t>
            </w:r>
          </w:p>
        </w:tc>
      </w:tr>
      <w:tr w:rsidR="003F2C22" w:rsidRPr="002F01DC" w:rsidTr="003F2C22">
        <w:tc>
          <w:tcPr>
            <w:tcW w:w="1427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7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20</w:t>
            </w:r>
          </w:p>
        </w:tc>
        <w:tc>
          <w:tcPr>
            <w:tcW w:w="1428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8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9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1900,00</w:t>
            </w:r>
          </w:p>
        </w:tc>
        <w:tc>
          <w:tcPr>
            <w:tcW w:w="2041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-</w:t>
            </w:r>
          </w:p>
        </w:tc>
      </w:tr>
      <w:tr w:rsidR="003F2C22" w:rsidRPr="002F01DC" w:rsidTr="003F2C22">
        <w:tc>
          <w:tcPr>
            <w:tcW w:w="1427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05.01.</w:t>
            </w:r>
          </w:p>
        </w:tc>
        <w:tc>
          <w:tcPr>
            <w:tcW w:w="1427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8" w:type="dxa"/>
          </w:tcPr>
          <w:p w:rsidR="003F2C22" w:rsidRPr="002F01DC" w:rsidRDefault="002F01DC" w:rsidP="002F01DC">
            <w:pPr>
              <w:pStyle w:val="Listenabsatz"/>
              <w:ind w:left="0"/>
            </w:pPr>
            <w:r>
              <w:t>40</w:t>
            </w:r>
          </w:p>
        </w:tc>
        <w:tc>
          <w:tcPr>
            <w:tcW w:w="1428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9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4000,00</w:t>
            </w:r>
          </w:p>
        </w:tc>
        <w:tc>
          <w:tcPr>
            <w:tcW w:w="2041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100,00</w:t>
            </w:r>
          </w:p>
        </w:tc>
      </w:tr>
      <w:tr w:rsidR="003F2C22" w:rsidRPr="002F01DC" w:rsidTr="003F2C22">
        <w:tc>
          <w:tcPr>
            <w:tcW w:w="1427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7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60</w:t>
            </w:r>
          </w:p>
        </w:tc>
        <w:tc>
          <w:tcPr>
            <w:tcW w:w="1428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8" w:type="dxa"/>
          </w:tcPr>
          <w:p w:rsidR="003F2C22" w:rsidRPr="002F01DC" w:rsidRDefault="002F01DC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9" w:type="dxa"/>
          </w:tcPr>
          <w:p w:rsidR="006C69EE" w:rsidRPr="002F01DC" w:rsidRDefault="006C69EE" w:rsidP="00F173DF">
            <w:pPr>
              <w:pStyle w:val="Listenabsatz"/>
              <w:ind w:left="0"/>
            </w:pPr>
            <w:r>
              <w:t>5900,00</w:t>
            </w:r>
          </w:p>
        </w:tc>
        <w:tc>
          <w:tcPr>
            <w:tcW w:w="2041" w:type="dxa"/>
          </w:tcPr>
          <w:p w:rsidR="003F2C22" w:rsidRPr="002F01DC" w:rsidRDefault="006C69EE" w:rsidP="00F173DF">
            <w:pPr>
              <w:pStyle w:val="Listenabsatz"/>
              <w:ind w:left="0"/>
            </w:pPr>
            <w:r>
              <w:t>98,33</w:t>
            </w:r>
          </w:p>
        </w:tc>
      </w:tr>
      <w:tr w:rsidR="003F2C22" w:rsidRPr="002F01DC" w:rsidTr="003F2C22">
        <w:tc>
          <w:tcPr>
            <w:tcW w:w="1427" w:type="dxa"/>
          </w:tcPr>
          <w:p w:rsidR="003F2C22" w:rsidRPr="002F01DC" w:rsidRDefault="004C099B" w:rsidP="00F173DF">
            <w:pPr>
              <w:pStyle w:val="Listenabsatz"/>
              <w:ind w:left="0"/>
            </w:pPr>
            <w:r>
              <w:t>12.01.</w:t>
            </w:r>
          </w:p>
        </w:tc>
        <w:tc>
          <w:tcPr>
            <w:tcW w:w="1427" w:type="dxa"/>
          </w:tcPr>
          <w:p w:rsidR="003F2C22" w:rsidRPr="002F01DC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8" w:type="dxa"/>
          </w:tcPr>
          <w:p w:rsidR="003F2C22" w:rsidRPr="002F01DC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8" w:type="dxa"/>
          </w:tcPr>
          <w:p w:rsidR="003F2C22" w:rsidRPr="002F01DC" w:rsidRDefault="004C099B" w:rsidP="00F173DF">
            <w:pPr>
              <w:pStyle w:val="Listenabsatz"/>
              <w:ind w:left="0"/>
            </w:pPr>
            <w:r>
              <w:t>30</w:t>
            </w:r>
          </w:p>
        </w:tc>
        <w:tc>
          <w:tcPr>
            <w:tcW w:w="1429" w:type="dxa"/>
          </w:tcPr>
          <w:p w:rsidR="003F2C22" w:rsidRPr="002F01DC" w:rsidRDefault="004C099B" w:rsidP="00F173DF">
            <w:pPr>
              <w:pStyle w:val="Listenabsatz"/>
              <w:ind w:left="0"/>
            </w:pPr>
            <w:r>
              <w:t>2950,00</w:t>
            </w:r>
          </w:p>
        </w:tc>
        <w:tc>
          <w:tcPr>
            <w:tcW w:w="2041" w:type="dxa"/>
          </w:tcPr>
          <w:p w:rsidR="003F2C22" w:rsidRPr="002F01DC" w:rsidRDefault="003F2C22" w:rsidP="00F173DF">
            <w:pPr>
              <w:pStyle w:val="Listenabsatz"/>
              <w:ind w:left="0"/>
            </w:pPr>
          </w:p>
        </w:tc>
      </w:tr>
      <w:tr w:rsidR="004C099B" w:rsidRPr="002F01DC" w:rsidTr="003F2C22">
        <w:tc>
          <w:tcPr>
            <w:tcW w:w="1427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7" w:type="dxa"/>
          </w:tcPr>
          <w:p w:rsidR="004C099B" w:rsidRDefault="004C099B" w:rsidP="00F173DF">
            <w:pPr>
              <w:pStyle w:val="Listenabsatz"/>
              <w:ind w:left="0"/>
            </w:pPr>
            <w:r>
              <w:t>30</w:t>
            </w:r>
          </w:p>
        </w:tc>
        <w:tc>
          <w:tcPr>
            <w:tcW w:w="1428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8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9" w:type="dxa"/>
          </w:tcPr>
          <w:p w:rsidR="004C099B" w:rsidRDefault="004C099B" w:rsidP="00F173DF">
            <w:pPr>
              <w:pStyle w:val="Listenabsatz"/>
              <w:ind w:left="0"/>
            </w:pPr>
            <w:r>
              <w:t>2950,00</w:t>
            </w:r>
          </w:p>
        </w:tc>
        <w:tc>
          <w:tcPr>
            <w:tcW w:w="2041" w:type="dxa"/>
          </w:tcPr>
          <w:p w:rsidR="004C099B" w:rsidRPr="002F01DC" w:rsidRDefault="004C099B" w:rsidP="00F173DF">
            <w:pPr>
              <w:pStyle w:val="Listenabsatz"/>
              <w:ind w:left="0"/>
            </w:pPr>
          </w:p>
        </w:tc>
      </w:tr>
      <w:tr w:rsidR="004C099B" w:rsidRPr="002F01DC" w:rsidTr="003F2C22">
        <w:tc>
          <w:tcPr>
            <w:tcW w:w="1427" w:type="dxa"/>
          </w:tcPr>
          <w:p w:rsidR="004C099B" w:rsidRDefault="004C099B" w:rsidP="00F173DF">
            <w:pPr>
              <w:pStyle w:val="Listenabsatz"/>
              <w:ind w:left="0"/>
            </w:pPr>
            <w:r>
              <w:t>15.01.</w:t>
            </w:r>
          </w:p>
        </w:tc>
        <w:tc>
          <w:tcPr>
            <w:tcW w:w="1427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8" w:type="dxa"/>
          </w:tcPr>
          <w:p w:rsidR="004C099B" w:rsidRDefault="004C099B" w:rsidP="00F173DF">
            <w:pPr>
              <w:pStyle w:val="Listenabsatz"/>
              <w:ind w:left="0"/>
            </w:pPr>
            <w:r>
              <w:t>60</w:t>
            </w:r>
          </w:p>
        </w:tc>
        <w:tc>
          <w:tcPr>
            <w:tcW w:w="1428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9" w:type="dxa"/>
          </w:tcPr>
          <w:p w:rsidR="004C099B" w:rsidRDefault="004C099B" w:rsidP="00F173DF">
            <w:pPr>
              <w:pStyle w:val="Listenabsatz"/>
              <w:ind w:left="0"/>
            </w:pPr>
            <w:r>
              <w:t>7200,00</w:t>
            </w:r>
          </w:p>
        </w:tc>
        <w:tc>
          <w:tcPr>
            <w:tcW w:w="2041" w:type="dxa"/>
          </w:tcPr>
          <w:p w:rsidR="004C099B" w:rsidRPr="002F01DC" w:rsidRDefault="004C099B" w:rsidP="00F173DF">
            <w:pPr>
              <w:pStyle w:val="Listenabsatz"/>
              <w:ind w:left="0"/>
            </w:pPr>
            <w:r>
              <w:t>120</w:t>
            </w:r>
          </w:p>
        </w:tc>
      </w:tr>
      <w:tr w:rsidR="004C099B" w:rsidRPr="002F01DC" w:rsidTr="003F2C22">
        <w:tc>
          <w:tcPr>
            <w:tcW w:w="1427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7" w:type="dxa"/>
          </w:tcPr>
          <w:p w:rsidR="004C099B" w:rsidRDefault="004C099B" w:rsidP="00F173DF">
            <w:pPr>
              <w:pStyle w:val="Listenabsatz"/>
              <w:ind w:left="0"/>
            </w:pPr>
            <w:r>
              <w:t>90</w:t>
            </w:r>
          </w:p>
        </w:tc>
        <w:tc>
          <w:tcPr>
            <w:tcW w:w="1428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8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9" w:type="dxa"/>
          </w:tcPr>
          <w:p w:rsidR="004C099B" w:rsidRDefault="004C099B" w:rsidP="00F173DF">
            <w:pPr>
              <w:pStyle w:val="Listenabsatz"/>
              <w:ind w:left="0"/>
            </w:pPr>
            <w:r>
              <w:t>10150,00</w:t>
            </w:r>
          </w:p>
        </w:tc>
        <w:tc>
          <w:tcPr>
            <w:tcW w:w="2041" w:type="dxa"/>
          </w:tcPr>
          <w:p w:rsidR="004C099B" w:rsidRDefault="004C099B" w:rsidP="00F173DF">
            <w:pPr>
              <w:pStyle w:val="Listenabsatz"/>
              <w:ind w:left="0"/>
            </w:pPr>
            <w:r>
              <w:t>112,78</w:t>
            </w:r>
          </w:p>
        </w:tc>
      </w:tr>
      <w:tr w:rsidR="004C099B" w:rsidRPr="002F01DC" w:rsidTr="003F2C22">
        <w:tc>
          <w:tcPr>
            <w:tcW w:w="1427" w:type="dxa"/>
          </w:tcPr>
          <w:p w:rsidR="004C099B" w:rsidRDefault="004C099B" w:rsidP="00F173DF">
            <w:pPr>
              <w:pStyle w:val="Listenabsatz"/>
              <w:ind w:left="0"/>
            </w:pPr>
            <w:r>
              <w:t>18.01.</w:t>
            </w:r>
          </w:p>
        </w:tc>
        <w:tc>
          <w:tcPr>
            <w:tcW w:w="1427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8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8" w:type="dxa"/>
          </w:tcPr>
          <w:p w:rsidR="004C099B" w:rsidRDefault="004C099B" w:rsidP="00F173DF">
            <w:pPr>
              <w:pStyle w:val="Listenabsatz"/>
              <w:ind w:left="0"/>
            </w:pPr>
            <w:r>
              <w:t>50</w:t>
            </w:r>
          </w:p>
        </w:tc>
        <w:tc>
          <w:tcPr>
            <w:tcW w:w="1429" w:type="dxa"/>
          </w:tcPr>
          <w:p w:rsidR="004C099B" w:rsidRDefault="004C099B" w:rsidP="00F173DF">
            <w:pPr>
              <w:pStyle w:val="Listenabsatz"/>
              <w:ind w:left="0"/>
            </w:pPr>
            <w:r>
              <w:t>5638,89</w:t>
            </w:r>
          </w:p>
        </w:tc>
        <w:tc>
          <w:tcPr>
            <w:tcW w:w="2041" w:type="dxa"/>
          </w:tcPr>
          <w:p w:rsidR="004C099B" w:rsidRDefault="004C099B" w:rsidP="00F173DF">
            <w:pPr>
              <w:pStyle w:val="Listenabsatz"/>
              <w:ind w:left="0"/>
            </w:pPr>
          </w:p>
        </w:tc>
      </w:tr>
      <w:tr w:rsidR="004C099B" w:rsidRPr="002F01DC" w:rsidTr="003F2C22">
        <w:tc>
          <w:tcPr>
            <w:tcW w:w="1427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7" w:type="dxa"/>
          </w:tcPr>
          <w:p w:rsidR="004C099B" w:rsidRDefault="004C099B" w:rsidP="00F173DF">
            <w:pPr>
              <w:pStyle w:val="Listenabsatz"/>
              <w:ind w:left="0"/>
            </w:pPr>
            <w:r>
              <w:t>40</w:t>
            </w:r>
          </w:p>
        </w:tc>
        <w:tc>
          <w:tcPr>
            <w:tcW w:w="1428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8" w:type="dxa"/>
          </w:tcPr>
          <w:p w:rsidR="004C099B" w:rsidRDefault="004C099B" w:rsidP="00F173DF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429" w:type="dxa"/>
          </w:tcPr>
          <w:p w:rsidR="004C099B" w:rsidRDefault="004C099B" w:rsidP="00F173DF">
            <w:pPr>
              <w:pStyle w:val="Listenabsatz"/>
              <w:ind w:left="0"/>
            </w:pPr>
            <w:r>
              <w:t>4511,11</w:t>
            </w:r>
          </w:p>
        </w:tc>
        <w:tc>
          <w:tcPr>
            <w:tcW w:w="2041" w:type="dxa"/>
          </w:tcPr>
          <w:p w:rsidR="004C099B" w:rsidRDefault="004C099B" w:rsidP="00F173DF">
            <w:pPr>
              <w:pStyle w:val="Listenabsatz"/>
              <w:ind w:left="0"/>
            </w:pPr>
          </w:p>
        </w:tc>
      </w:tr>
    </w:tbl>
    <w:p w:rsidR="00F173DF" w:rsidRPr="002671BD" w:rsidRDefault="002671BD" w:rsidP="002671BD">
      <w:pPr>
        <w:pStyle w:val="KeinLeerraum"/>
        <w:numPr>
          <w:ilvl w:val="0"/>
          <w:numId w:val="1"/>
        </w:numPr>
        <w:rPr>
          <w:b/>
          <w:u w:val="single"/>
        </w:rPr>
      </w:pPr>
      <w:r w:rsidRPr="002671BD">
        <w:rPr>
          <w:b/>
          <w:u w:val="single"/>
        </w:rPr>
        <w:t>Vergleichsgrundlage für Wirtschaftlichkeitskontrolle</w:t>
      </w:r>
    </w:p>
    <w:p w:rsidR="002671BD" w:rsidRPr="002671BD" w:rsidRDefault="00390CA8" w:rsidP="002671BD">
      <w:pPr>
        <w:pStyle w:val="KeinLeerraum"/>
      </w:pPr>
      <w:r>
        <w:t xml:space="preserve">Der Ansatz rollender Durchschnittspreise bietet keine geeignete Vergleichsgrundlage für eine Wirtschaftlichkeitskontrolle, da für eine </w:t>
      </w:r>
      <w:r w:rsidRPr="00390CA8">
        <w:t>Wirtschaftlichkeitskontrolle</w:t>
      </w:r>
      <w:r>
        <w:t xml:space="preserve"> die </w:t>
      </w:r>
      <w:proofErr w:type="spellStart"/>
      <w:r>
        <w:t>Preisschankungen</w:t>
      </w:r>
      <w:proofErr w:type="spellEnd"/>
      <w:r>
        <w:t xml:space="preserve"> vollständig ausgeschaltet werden müssten.</w:t>
      </w:r>
      <w:bookmarkStart w:id="0" w:name="_GoBack"/>
      <w:bookmarkEnd w:id="0"/>
    </w:p>
    <w:sectPr w:rsidR="002671BD" w:rsidRPr="00267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02A86"/>
    <w:multiLevelType w:val="hybridMultilevel"/>
    <w:tmpl w:val="7D26BD7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44"/>
    <w:rsid w:val="000B0F44"/>
    <w:rsid w:val="002671BD"/>
    <w:rsid w:val="002F01DC"/>
    <w:rsid w:val="002F2976"/>
    <w:rsid w:val="00390CA8"/>
    <w:rsid w:val="003F2C22"/>
    <w:rsid w:val="004C099B"/>
    <w:rsid w:val="006C69EE"/>
    <w:rsid w:val="00805FED"/>
    <w:rsid w:val="008D07E1"/>
    <w:rsid w:val="00C30C02"/>
    <w:rsid w:val="00F1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5">
    <w:name w:val="heading 5"/>
    <w:basedOn w:val="Standard"/>
    <w:link w:val="berschrift5Zchn"/>
    <w:uiPriority w:val="9"/>
    <w:qFormat/>
    <w:rsid w:val="008D07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8D07E1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ng-scope">
    <w:name w:val="ng-scope"/>
    <w:basedOn w:val="Absatz-Standardschriftart"/>
    <w:rsid w:val="008D07E1"/>
  </w:style>
  <w:style w:type="table" w:styleId="Tabellenraster">
    <w:name w:val="Table Grid"/>
    <w:basedOn w:val="NormaleTabelle"/>
    <w:uiPriority w:val="59"/>
    <w:rsid w:val="008D0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73DF"/>
    <w:pPr>
      <w:ind w:left="720"/>
      <w:contextualSpacing/>
    </w:pPr>
  </w:style>
  <w:style w:type="paragraph" w:styleId="KeinLeerraum">
    <w:name w:val="No Spacing"/>
    <w:uiPriority w:val="1"/>
    <w:qFormat/>
    <w:rsid w:val="00F173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5">
    <w:name w:val="heading 5"/>
    <w:basedOn w:val="Standard"/>
    <w:link w:val="berschrift5Zchn"/>
    <w:uiPriority w:val="9"/>
    <w:qFormat/>
    <w:rsid w:val="008D07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8D07E1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ng-scope">
    <w:name w:val="ng-scope"/>
    <w:basedOn w:val="Absatz-Standardschriftart"/>
    <w:rsid w:val="008D07E1"/>
  </w:style>
  <w:style w:type="table" w:styleId="Tabellenraster">
    <w:name w:val="Table Grid"/>
    <w:basedOn w:val="NormaleTabelle"/>
    <w:uiPriority w:val="59"/>
    <w:rsid w:val="008D0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73DF"/>
    <w:pPr>
      <w:ind w:left="720"/>
      <w:contextualSpacing/>
    </w:pPr>
  </w:style>
  <w:style w:type="paragraph" w:styleId="KeinLeerraum">
    <w:name w:val="No Spacing"/>
    <w:uiPriority w:val="1"/>
    <w:qFormat/>
    <w:rsid w:val="00F173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10</cp:revision>
  <cp:lastPrinted>2018-04-22T17:15:00Z</cp:lastPrinted>
  <dcterms:created xsi:type="dcterms:W3CDTF">2018-04-22T16:50:00Z</dcterms:created>
  <dcterms:modified xsi:type="dcterms:W3CDTF">2018-04-22T17:16:00Z</dcterms:modified>
</cp:coreProperties>
</file>