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13378" w:rsidP="00513378">
      <w:pPr>
        <w:pStyle w:val="berschrift1"/>
      </w:pPr>
      <w:r>
        <w:t>Forderungsausfall</w:t>
      </w:r>
    </w:p>
    <w:p w:rsidR="00513378" w:rsidRDefault="00513378" w:rsidP="00513378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13378" w:rsidTr="005133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3378" w:rsidRDefault="00513378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Ein Unternehmen hat in den vergangenen Perioden folgende Entwicklung des Forderungsbestandes und des Forderungsausfalls zu verzeichnen.</w:t>
            </w:r>
            <w:r>
              <w:rPr>
                <w:rFonts w:ascii="Verdana" w:hAnsi="Verdana"/>
                <w:color w:val="676A6C"/>
                <w:sz w:val="20"/>
                <w:szCs w:val="20"/>
              </w:rPr>
              <w:br/>
            </w:r>
            <w:r>
              <w:rPr>
                <w:rFonts w:ascii="Verdana" w:hAnsi="Verdana"/>
                <w:color w:val="676A6C"/>
                <w:sz w:val="20"/>
                <w:szCs w:val="20"/>
              </w:rPr>
              <w:br/>
            </w:r>
            <w:r>
              <w:rPr>
                <w:noProof/>
                <w:lang w:eastAsia="de-DE"/>
              </w:rPr>
              <w:drawing>
                <wp:inline distT="0" distB="0" distL="0" distR="0" wp14:anchorId="28C04B98" wp14:editId="7420D9B0">
                  <wp:extent cx="2926080" cy="1214120"/>
                  <wp:effectExtent l="0" t="0" r="7620" b="5080"/>
                  <wp:docPr id="1" name="Grafik 1" descr="Forderungsausf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oom_193729" descr="Forderungsausf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378" w:rsidRDefault="00513378" w:rsidP="00513378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br/>
        <w:t>a) Berechnen Sie den Wagniskostensatz der Unternehmung, wenn diese einen Forderungsausfall aufgrund der Durchschnittswerte der letzten 5 Perioden kalkuliert. (10 Punkte)</w:t>
      </w:r>
      <w:r>
        <w:rPr>
          <w:rFonts w:ascii="Verdana" w:hAnsi="Verdana"/>
          <w:color w:val="676A6C"/>
          <w:sz w:val="20"/>
          <w:szCs w:val="20"/>
        </w:rPr>
        <w:br/>
        <w:t>b) Welchen Rat würden Sie der Unternehmensleitung aufgrund der Entwicklung der Daten geben? (5 Punkte)</w:t>
      </w:r>
    </w:p>
    <w:p w:rsidR="00513378" w:rsidRDefault="00513378" w:rsidP="00513378">
      <w:pPr>
        <w:rPr>
          <w:b/>
          <w:u w:val="single"/>
        </w:rPr>
      </w:pPr>
      <w:r w:rsidRPr="00513378">
        <w:rPr>
          <w:b/>
          <w:u w:val="single"/>
        </w:rPr>
        <w:t>Wagniskostensatz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2"/>
        <w:gridCol w:w="2588"/>
        <w:gridCol w:w="2528"/>
        <w:gridCol w:w="1840"/>
      </w:tblGrid>
      <w:tr w:rsidR="00CC45DC" w:rsidTr="00CC45DC">
        <w:tc>
          <w:tcPr>
            <w:tcW w:w="2332" w:type="dxa"/>
            <w:shd w:val="clear" w:color="auto" w:fill="BFBFBF" w:themeFill="background1" w:themeFillShade="BF"/>
          </w:tcPr>
          <w:p w:rsidR="00CC45DC" w:rsidRDefault="00CC45DC" w:rsidP="00513378">
            <w:r>
              <w:t>Periode</w:t>
            </w:r>
          </w:p>
        </w:tc>
        <w:tc>
          <w:tcPr>
            <w:tcW w:w="2588" w:type="dxa"/>
            <w:shd w:val="clear" w:color="auto" w:fill="BFBFBF" w:themeFill="background1" w:themeFillShade="BF"/>
          </w:tcPr>
          <w:p w:rsidR="00CC45DC" w:rsidRDefault="00CC45DC" w:rsidP="00513378">
            <w:r>
              <w:t>Forderungsbestand</w:t>
            </w:r>
          </w:p>
        </w:tc>
        <w:tc>
          <w:tcPr>
            <w:tcW w:w="2528" w:type="dxa"/>
            <w:shd w:val="clear" w:color="auto" w:fill="BFBFBF" w:themeFill="background1" w:themeFillShade="BF"/>
          </w:tcPr>
          <w:p w:rsidR="00CC45DC" w:rsidRDefault="00CC45DC" w:rsidP="00513378">
            <w:r>
              <w:t>Forderungsausfall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CC45DC" w:rsidRDefault="00CC45DC" w:rsidP="00513378">
            <w:r>
              <w:t>Prozent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1</w:t>
            </w:r>
          </w:p>
        </w:tc>
        <w:tc>
          <w:tcPr>
            <w:tcW w:w="2588" w:type="dxa"/>
          </w:tcPr>
          <w:p w:rsidR="00CC45DC" w:rsidRDefault="00CC45DC" w:rsidP="00513378">
            <w:r>
              <w:t>800.000€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2.000€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0,25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2</w:t>
            </w:r>
          </w:p>
        </w:tc>
        <w:tc>
          <w:tcPr>
            <w:tcW w:w="2588" w:type="dxa"/>
          </w:tcPr>
          <w:p w:rsidR="00CC45DC" w:rsidRDefault="00CC45DC" w:rsidP="00513378">
            <w:r>
              <w:t>1.000.000€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4.000€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0,4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3</w:t>
            </w:r>
          </w:p>
        </w:tc>
        <w:tc>
          <w:tcPr>
            <w:tcW w:w="2588" w:type="dxa"/>
          </w:tcPr>
          <w:p w:rsidR="00CC45DC" w:rsidRDefault="00CC45DC" w:rsidP="00513378">
            <w:r>
              <w:t>900.000€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4.950€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0,55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4</w:t>
            </w:r>
          </w:p>
        </w:tc>
        <w:tc>
          <w:tcPr>
            <w:tcW w:w="2588" w:type="dxa"/>
          </w:tcPr>
          <w:p w:rsidR="00CC45DC" w:rsidRDefault="00CC45DC" w:rsidP="00513378">
            <w:r>
              <w:t>1.100.000€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7.700€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0,7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5</w:t>
            </w:r>
          </w:p>
        </w:tc>
        <w:tc>
          <w:tcPr>
            <w:tcW w:w="2588" w:type="dxa"/>
          </w:tcPr>
          <w:p w:rsidR="00CC45DC" w:rsidRDefault="00CC45DC" w:rsidP="00513378">
            <w:r>
              <w:t>750.000€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6.375€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0,85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Summe</w:t>
            </w:r>
          </w:p>
        </w:tc>
        <w:tc>
          <w:tcPr>
            <w:tcW w:w="2588" w:type="dxa"/>
          </w:tcPr>
          <w:p w:rsidR="00CC45DC" w:rsidRDefault="00CC45DC" w:rsidP="00513378">
            <w:r>
              <w:t>4.550.000€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25.025€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0,55</w:t>
            </w:r>
          </w:p>
        </w:tc>
      </w:tr>
      <w:tr w:rsidR="00CC45DC" w:rsidTr="00CC45DC">
        <w:tc>
          <w:tcPr>
            <w:tcW w:w="2332" w:type="dxa"/>
          </w:tcPr>
          <w:p w:rsidR="00CC45DC" w:rsidRDefault="00CC45DC" w:rsidP="00513378">
            <w:r>
              <w:t>Durchschnitt</w:t>
            </w:r>
          </w:p>
        </w:tc>
        <w:tc>
          <w:tcPr>
            <w:tcW w:w="2588" w:type="dxa"/>
          </w:tcPr>
          <w:p w:rsidR="00CC45DC" w:rsidRDefault="00CC45DC" w:rsidP="00513378">
            <w:r>
              <w:t>910.000€</w:t>
            </w:r>
          </w:p>
        </w:tc>
        <w:tc>
          <w:tcPr>
            <w:tcW w:w="2528" w:type="dxa"/>
          </w:tcPr>
          <w:p w:rsidR="00CC45DC" w:rsidRDefault="00CC45DC" w:rsidP="00513378">
            <w:r>
              <w:t>5.005€</w:t>
            </w:r>
          </w:p>
        </w:tc>
        <w:tc>
          <w:tcPr>
            <w:tcW w:w="1840" w:type="dxa"/>
          </w:tcPr>
          <w:p w:rsidR="00CC45DC" w:rsidRDefault="00CC45DC" w:rsidP="00513378">
            <w:r>
              <w:t>0,55</w:t>
            </w:r>
          </w:p>
        </w:tc>
      </w:tr>
    </w:tbl>
    <w:p w:rsidR="00784E37" w:rsidRDefault="00784E37" w:rsidP="00784E37">
      <w:pPr>
        <w:pStyle w:val="KeinLeerraum"/>
      </w:pPr>
    </w:p>
    <w:p w:rsidR="00784E37" w:rsidRDefault="00784E37" w:rsidP="00513378">
      <w:r>
        <w:t>Wagniskostensatz = Durchschnitt von effektiven Wagnisverlusten eines längeren Zeitraums in Relation zum</w:t>
      </w:r>
      <w:r w:rsidR="001933D8">
        <w:t xml:space="preserve"> Durchschnitt einer Bezugsgröße = 5.005€ / 910.000€ * 100 = 0.55%</w:t>
      </w:r>
    </w:p>
    <w:p w:rsidR="00CC45DC" w:rsidRDefault="00CC45DC" w:rsidP="00513378">
      <w:pPr>
        <w:rPr>
          <w:b/>
          <w:u w:val="single"/>
        </w:rPr>
      </w:pPr>
      <w:r w:rsidRPr="00CC45DC">
        <w:rPr>
          <w:b/>
          <w:u w:val="single"/>
        </w:rPr>
        <w:t>Rat aufgrund der Entwicklung der Daten</w:t>
      </w:r>
    </w:p>
    <w:p w:rsidR="00CC45DC" w:rsidRPr="00CC45DC" w:rsidRDefault="00CC45DC" w:rsidP="00513378">
      <w:r>
        <w:t>Aufgrund der Entwicklung der Daten stellt sich ein</w:t>
      </w:r>
      <w:r w:rsidR="00914795">
        <w:t xml:space="preserve"> tendenzieller</w:t>
      </w:r>
      <w:r>
        <w:t xml:space="preserve"> Anstieg des Prozentsatzes des Forderungsausfall</w:t>
      </w:r>
      <w:r w:rsidR="00914795">
        <w:t>s</w:t>
      </w:r>
      <w:r>
        <w:t xml:space="preserve"> im Laufe der Perioden heraus.</w:t>
      </w:r>
      <w:r w:rsidR="00914795">
        <w:t xml:space="preserve"> Es sollte für die nächste Periode der Ansatz eines Wagniskostensatzes mit 1 Prozent vorgesehen werden.</w:t>
      </w:r>
      <w:r w:rsidR="005A3465">
        <w:t xml:space="preserve"> Außerdem sollten Maßnahmen </w:t>
      </w:r>
      <w:r w:rsidR="00EE2F21">
        <w:t>ergriffen</w:t>
      </w:r>
      <w:bookmarkStart w:id="0" w:name="_GoBack"/>
      <w:bookmarkEnd w:id="0"/>
      <w:r w:rsidR="005A3465">
        <w:t xml:space="preserve"> werden, dass der Ausfall reduziert werden kann oder zumindest stagniert.</w:t>
      </w:r>
    </w:p>
    <w:sectPr w:rsidR="00CC45DC" w:rsidRPr="00CC4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6A"/>
    <w:rsid w:val="00133127"/>
    <w:rsid w:val="001933D8"/>
    <w:rsid w:val="002F2976"/>
    <w:rsid w:val="00513378"/>
    <w:rsid w:val="005A3465"/>
    <w:rsid w:val="00784E37"/>
    <w:rsid w:val="00805FED"/>
    <w:rsid w:val="00914795"/>
    <w:rsid w:val="00B45A82"/>
    <w:rsid w:val="00BC266A"/>
    <w:rsid w:val="00CC45DC"/>
    <w:rsid w:val="00E33371"/>
    <w:rsid w:val="00E5458D"/>
    <w:rsid w:val="00E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33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33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133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3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8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84E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33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33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133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3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8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84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12</cp:revision>
  <cp:lastPrinted>2018-04-22T17:58:00Z</cp:lastPrinted>
  <dcterms:created xsi:type="dcterms:W3CDTF">2018-04-22T17:46:00Z</dcterms:created>
  <dcterms:modified xsi:type="dcterms:W3CDTF">2018-04-22T17:59:00Z</dcterms:modified>
</cp:coreProperties>
</file>