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AF7129" w:rsidP="00AF7129">
      <w:pPr>
        <w:pStyle w:val="berschrift1"/>
      </w:pPr>
      <w:r>
        <w:t>Due Diligence Aufgaben Kurs</w:t>
      </w:r>
    </w:p>
    <w:p w:rsidR="00AF7129" w:rsidRDefault="00AF7129" w:rsidP="00AF7129">
      <w:pPr>
        <w:pStyle w:val="berschrift5"/>
        <w:spacing w:before="75"/>
        <w:rPr>
          <w:rFonts w:ascii="inherit" w:hAnsi="inherit"/>
          <w:color w:val="1C84C6"/>
          <w:sz w:val="18"/>
          <w:szCs w:val="18"/>
        </w:rPr>
      </w:pPr>
      <w:r>
        <w:rPr>
          <w:rStyle w:val="ng-scope"/>
          <w:rFonts w:ascii="inherit" w:hAnsi="inherit"/>
          <w:color w:val="1C84C6"/>
          <w:sz w:val="18"/>
          <w:szCs w:val="18"/>
        </w:rPr>
        <w:t>Aufgabenstellung</w:t>
      </w:r>
    </w:p>
    <w:p w:rsidR="00AF7129" w:rsidRDefault="00AF7129" w:rsidP="00AF7129">
      <w:pPr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Welche Informationen werden aus den folgenden Analysen gewonnen?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Analysen: Kennzahlen aus der Vergangenheit, Kennzahlen aus der Planung, Analysen der internen Prozesse, Analysen der externen Prozesse.</w:t>
      </w:r>
    </w:p>
    <w:p w:rsidR="00AF7129" w:rsidRDefault="00AF7129" w:rsidP="00AF7129">
      <w:r>
        <w:t xml:space="preserve">Kennzahlen aus der Vergangenheit: </w:t>
      </w:r>
      <w:r w:rsidR="00B43B87">
        <w:t>Kapitalstruktur (</w:t>
      </w:r>
      <w:r>
        <w:t>Auskunft über das Vermögen eines Unternehmens und wie dieses Unternehmen finanziert wird</w:t>
      </w:r>
      <w:r w:rsidR="00B43B87">
        <w:t xml:space="preserve">), Deckungsgrade (Auskunft wie das Anlagevermögen finanziert wurde), Anlagenintensität (Anteil des Anlagevermögens an dem Gesamtvermögen), </w:t>
      </w:r>
      <w:proofErr w:type="spellStart"/>
      <w:r w:rsidR="00B43B87">
        <w:t>Voratsquote</w:t>
      </w:r>
      <w:proofErr w:type="spellEnd"/>
      <w:r w:rsidR="00B43B87">
        <w:t xml:space="preserve"> (Verhältnis der Vorräte zu dem Gesamtvermögen)</w:t>
      </w:r>
      <w:r w:rsidR="00765BC1">
        <w:t>, Grad der Verschuldung, Liquidität</w:t>
      </w:r>
      <w:r w:rsidR="00042946">
        <w:t>, Gesamtkapitalrentabilität, Umsatzrentabilität, Materialquote, Arbeitsproduktivität</w:t>
      </w:r>
    </w:p>
    <w:p w:rsidR="00AF7129" w:rsidRDefault="00AF7129" w:rsidP="00AF7129">
      <w:r>
        <w:t xml:space="preserve">Kennzahlen aus der Planung: </w:t>
      </w:r>
      <w:r w:rsidR="00AC461C">
        <w:t>gleiche Kennzahlen wie in der Vergangenheit, sowie Risiken, die sich in den Unternehmensplänen verbergen</w:t>
      </w:r>
      <w:r w:rsidR="003B3810">
        <w:t xml:space="preserve"> (SWOT-Analyse)</w:t>
      </w:r>
      <w:bookmarkStart w:id="0" w:name="_GoBack"/>
      <w:bookmarkEnd w:id="0"/>
    </w:p>
    <w:p w:rsidR="00AF7129" w:rsidRDefault="00AF7129" w:rsidP="00AF7129">
      <w:r>
        <w:t>Analysen der internen Prozesse: Kostenstrukturen, Reaktionszeit, Qualifikation der Mitarbeiter und des Managements</w:t>
      </w:r>
    </w:p>
    <w:p w:rsidR="00AF7129" w:rsidRDefault="00AF7129" w:rsidP="00AF7129">
      <w:r>
        <w:t>Analyse der externen Prozesse: Umweltbedingungen, vertragliche Verpflichtungen und steuerliche Rahmenbedingungen</w:t>
      </w:r>
    </w:p>
    <w:p w:rsidR="00AF7129" w:rsidRPr="00AF7129" w:rsidRDefault="00AF7129" w:rsidP="00AF7129"/>
    <w:sectPr w:rsidR="00AF7129" w:rsidRPr="00AF71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7"/>
    <w:rsid w:val="00042946"/>
    <w:rsid w:val="002F2976"/>
    <w:rsid w:val="003B3810"/>
    <w:rsid w:val="004562DD"/>
    <w:rsid w:val="004906D7"/>
    <w:rsid w:val="00765BC1"/>
    <w:rsid w:val="00805FED"/>
    <w:rsid w:val="00AC461C"/>
    <w:rsid w:val="00AF7129"/>
    <w:rsid w:val="00B4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7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71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7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71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AF71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7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71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7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71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AF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8</cp:revision>
  <cp:lastPrinted>2018-06-17T15:34:00Z</cp:lastPrinted>
  <dcterms:created xsi:type="dcterms:W3CDTF">2018-06-17T15:22:00Z</dcterms:created>
  <dcterms:modified xsi:type="dcterms:W3CDTF">2018-06-17T15:34:00Z</dcterms:modified>
</cp:coreProperties>
</file>