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FA546B" w:rsidP="00FA546B">
      <w:pPr>
        <w:pStyle w:val="berschrift1"/>
      </w:pPr>
      <w:bookmarkStart w:id="0" w:name="_GoBack"/>
      <w:bookmarkEnd w:id="0"/>
      <w:r>
        <w:t xml:space="preserve">Inhalte strategischer Planung Aufgabe </w:t>
      </w:r>
      <w:r w:rsidR="00730037">
        <w:t>2</w:t>
      </w:r>
    </w:p>
    <w:p w:rsidR="00FA546B" w:rsidRDefault="00FA546B" w:rsidP="00FA546B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FA546B" w:rsidRDefault="00FA546B" w:rsidP="00FA546B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Tragen Sie bitten zu folgenden Situationen in der untenstehenden Tabelle ein, welche Funktion welches Instrument nutzen muss, um die Situation zu analysieren: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Marktanteile</w:t>
      </w:r>
      <w:r>
        <w:rPr>
          <w:rFonts w:ascii="Verdana" w:hAnsi="Verdana"/>
          <w:color w:val="676A6C"/>
          <w:sz w:val="20"/>
          <w:szCs w:val="20"/>
        </w:rPr>
        <w:br/>
        <w:t>Kostenmanagement</w:t>
      </w:r>
      <w:r>
        <w:rPr>
          <w:rFonts w:ascii="Verdana" w:hAnsi="Verdana"/>
          <w:color w:val="676A6C"/>
          <w:sz w:val="20"/>
          <w:szCs w:val="20"/>
        </w:rPr>
        <w:br/>
        <w:t>Technologische Entwicklung Produkte</w:t>
      </w:r>
      <w:r>
        <w:rPr>
          <w:rFonts w:ascii="Verdana" w:hAnsi="Verdana"/>
          <w:color w:val="676A6C"/>
          <w:sz w:val="20"/>
          <w:szCs w:val="20"/>
        </w:rPr>
        <w:br/>
        <w:t>Technologie Produktion</w:t>
      </w:r>
      <w:r>
        <w:rPr>
          <w:rFonts w:ascii="Verdana" w:hAnsi="Verdana"/>
          <w:color w:val="676A6C"/>
          <w:sz w:val="20"/>
          <w:szCs w:val="20"/>
        </w:rPr>
        <w:br/>
      </w:r>
      <w:r w:rsidRPr="00EF55DA">
        <w:rPr>
          <w:rFonts w:ascii="Verdana" w:hAnsi="Verdana"/>
          <w:color w:val="676A6C"/>
          <w:sz w:val="20"/>
          <w:szCs w:val="20"/>
        </w:rPr>
        <w:t>Führungsnachwuchs</w:t>
      </w:r>
      <w:r w:rsidRPr="00EF55DA"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t>Materialkosten</w:t>
      </w:r>
      <w:r>
        <w:rPr>
          <w:rFonts w:ascii="Verdana" w:hAnsi="Verdana"/>
          <w:color w:val="676A6C"/>
          <w:sz w:val="20"/>
          <w:szCs w:val="20"/>
        </w:rPr>
        <w:br/>
        <w:t>Interne Prozesse</w:t>
      </w: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1875"/>
        <w:gridCol w:w="2043"/>
        <w:gridCol w:w="1564"/>
        <w:gridCol w:w="1822"/>
        <w:gridCol w:w="2160"/>
      </w:tblGrid>
      <w:tr w:rsidR="00FA546B" w:rsidTr="00DD5290">
        <w:tc>
          <w:tcPr>
            <w:tcW w:w="1875" w:type="dxa"/>
            <w:shd w:val="clear" w:color="auto" w:fill="D9D9D9" w:themeFill="background1" w:themeFillShade="D9"/>
          </w:tcPr>
          <w:p w:rsidR="00FA546B" w:rsidRDefault="00FA546B" w:rsidP="00FA546B">
            <w:r>
              <w:t>Funktion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:rsidR="00FA546B" w:rsidRDefault="00FA546B" w:rsidP="00FA546B">
            <w:r>
              <w:t>SWOT-Analysen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:rsidR="00FA546B" w:rsidRDefault="00FA546B" w:rsidP="00FA546B">
            <w:r>
              <w:t>Portfolio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FA546B" w:rsidRDefault="00FA546B" w:rsidP="00FA546B">
            <w:r>
              <w:t>Quantitative Prognosemodelle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:rsidR="00FA546B" w:rsidRDefault="00FA546B" w:rsidP="00FA546B">
            <w:r>
              <w:t>Qualitative Prognosemodelle</w:t>
            </w:r>
          </w:p>
        </w:tc>
      </w:tr>
      <w:tr w:rsidR="00DD5290" w:rsidTr="00DD5290">
        <w:tc>
          <w:tcPr>
            <w:tcW w:w="1875" w:type="dxa"/>
          </w:tcPr>
          <w:p w:rsidR="00DD5290" w:rsidRDefault="00DD5290" w:rsidP="00FA546B">
            <w:r>
              <w:t>Vertrieb</w:t>
            </w:r>
          </w:p>
        </w:tc>
        <w:tc>
          <w:tcPr>
            <w:tcW w:w="2021" w:type="dxa"/>
          </w:tcPr>
          <w:p w:rsidR="00DD5290" w:rsidRDefault="00DD5290" w:rsidP="00FA546B"/>
        </w:tc>
        <w:tc>
          <w:tcPr>
            <w:tcW w:w="1571" w:type="dxa"/>
          </w:tcPr>
          <w:p w:rsidR="00DD5290" w:rsidRDefault="00DD5290" w:rsidP="002E58DD">
            <w:r>
              <w:t>Marktanteile</w:t>
            </w:r>
          </w:p>
        </w:tc>
        <w:tc>
          <w:tcPr>
            <w:tcW w:w="1823" w:type="dxa"/>
          </w:tcPr>
          <w:p w:rsidR="00DD5290" w:rsidRDefault="00DD5290" w:rsidP="00FA546B"/>
        </w:tc>
        <w:tc>
          <w:tcPr>
            <w:tcW w:w="2174" w:type="dxa"/>
          </w:tcPr>
          <w:p w:rsidR="00DD5290" w:rsidRDefault="00DD5290" w:rsidP="00FA546B"/>
        </w:tc>
      </w:tr>
      <w:tr w:rsidR="00DD5290" w:rsidTr="00DD5290">
        <w:tc>
          <w:tcPr>
            <w:tcW w:w="1875" w:type="dxa"/>
          </w:tcPr>
          <w:p w:rsidR="00DD5290" w:rsidRDefault="00DD5290" w:rsidP="00FA546B">
            <w:r>
              <w:t>Produktion</w:t>
            </w:r>
          </w:p>
        </w:tc>
        <w:tc>
          <w:tcPr>
            <w:tcW w:w="2021" w:type="dxa"/>
          </w:tcPr>
          <w:p w:rsidR="00DD5290" w:rsidRDefault="00DD5290" w:rsidP="00FA546B"/>
        </w:tc>
        <w:tc>
          <w:tcPr>
            <w:tcW w:w="1571" w:type="dxa"/>
          </w:tcPr>
          <w:p w:rsidR="00DD5290" w:rsidRDefault="00DD5290" w:rsidP="00FA546B"/>
        </w:tc>
        <w:tc>
          <w:tcPr>
            <w:tcW w:w="1823" w:type="dxa"/>
          </w:tcPr>
          <w:p w:rsidR="00DD5290" w:rsidRDefault="00DD5290" w:rsidP="00FA546B"/>
        </w:tc>
        <w:tc>
          <w:tcPr>
            <w:tcW w:w="2174" w:type="dxa"/>
          </w:tcPr>
          <w:p w:rsidR="00DD5290" w:rsidRDefault="00DD5290" w:rsidP="00FA546B">
            <w:r>
              <w:t>Technologie Produktion</w:t>
            </w:r>
          </w:p>
        </w:tc>
      </w:tr>
      <w:tr w:rsidR="00DD5290" w:rsidTr="00DD5290">
        <w:tc>
          <w:tcPr>
            <w:tcW w:w="1875" w:type="dxa"/>
          </w:tcPr>
          <w:p w:rsidR="00DD5290" w:rsidRDefault="00DD5290" w:rsidP="00FA546B">
            <w:r>
              <w:t>Materialwirtschaft</w:t>
            </w:r>
          </w:p>
        </w:tc>
        <w:tc>
          <w:tcPr>
            <w:tcW w:w="2021" w:type="dxa"/>
          </w:tcPr>
          <w:p w:rsidR="00DD5290" w:rsidRDefault="00DD5290" w:rsidP="00FA546B"/>
        </w:tc>
        <w:tc>
          <w:tcPr>
            <w:tcW w:w="1571" w:type="dxa"/>
          </w:tcPr>
          <w:p w:rsidR="00DD5290" w:rsidRDefault="00DD5290" w:rsidP="00FA546B"/>
        </w:tc>
        <w:tc>
          <w:tcPr>
            <w:tcW w:w="1823" w:type="dxa"/>
          </w:tcPr>
          <w:p w:rsidR="00DD5290" w:rsidRDefault="00DD5290" w:rsidP="00FA546B">
            <w:r>
              <w:t>Materialkosten</w:t>
            </w:r>
          </w:p>
        </w:tc>
        <w:tc>
          <w:tcPr>
            <w:tcW w:w="2174" w:type="dxa"/>
          </w:tcPr>
          <w:p w:rsidR="00DD5290" w:rsidRDefault="00DD5290" w:rsidP="00FA546B"/>
        </w:tc>
      </w:tr>
      <w:tr w:rsidR="00DD5290" w:rsidTr="00DD5290">
        <w:tc>
          <w:tcPr>
            <w:tcW w:w="1875" w:type="dxa"/>
          </w:tcPr>
          <w:p w:rsidR="00DD5290" w:rsidRDefault="00DD5290" w:rsidP="00FA546B">
            <w:r>
              <w:t>Forschung und Entwicklung</w:t>
            </w:r>
          </w:p>
        </w:tc>
        <w:tc>
          <w:tcPr>
            <w:tcW w:w="2021" w:type="dxa"/>
          </w:tcPr>
          <w:p w:rsidR="00DD5290" w:rsidRDefault="00DD5290" w:rsidP="00FA546B"/>
        </w:tc>
        <w:tc>
          <w:tcPr>
            <w:tcW w:w="1571" w:type="dxa"/>
          </w:tcPr>
          <w:p w:rsidR="00DD5290" w:rsidRDefault="00DD5290" w:rsidP="00FA546B"/>
        </w:tc>
        <w:tc>
          <w:tcPr>
            <w:tcW w:w="1823" w:type="dxa"/>
          </w:tcPr>
          <w:p w:rsidR="00DD5290" w:rsidRDefault="00DD5290" w:rsidP="00FA546B"/>
        </w:tc>
        <w:tc>
          <w:tcPr>
            <w:tcW w:w="2174" w:type="dxa"/>
          </w:tcPr>
          <w:p w:rsidR="00DD5290" w:rsidRDefault="00DD5290" w:rsidP="00FA546B">
            <w:r>
              <w:t>Technologie Entwicklung Produkte</w:t>
            </w:r>
          </w:p>
        </w:tc>
      </w:tr>
      <w:tr w:rsidR="00DD5290" w:rsidTr="00DD5290">
        <w:tc>
          <w:tcPr>
            <w:tcW w:w="1875" w:type="dxa"/>
          </w:tcPr>
          <w:p w:rsidR="00DD5290" w:rsidRDefault="00DD5290" w:rsidP="00FA546B">
            <w:r>
              <w:t>Personalwesen</w:t>
            </w:r>
          </w:p>
        </w:tc>
        <w:tc>
          <w:tcPr>
            <w:tcW w:w="2021" w:type="dxa"/>
          </w:tcPr>
          <w:p w:rsidR="00DD5290" w:rsidRDefault="00B43D05" w:rsidP="00FA546B">
            <w:r>
              <w:t>Führungsnachwuchs</w:t>
            </w:r>
          </w:p>
        </w:tc>
        <w:tc>
          <w:tcPr>
            <w:tcW w:w="1571" w:type="dxa"/>
          </w:tcPr>
          <w:p w:rsidR="00DD5290" w:rsidRDefault="00DD5290" w:rsidP="00FA546B"/>
        </w:tc>
        <w:tc>
          <w:tcPr>
            <w:tcW w:w="1823" w:type="dxa"/>
          </w:tcPr>
          <w:p w:rsidR="00DD5290" w:rsidRDefault="00DD5290" w:rsidP="002E58DD"/>
        </w:tc>
        <w:tc>
          <w:tcPr>
            <w:tcW w:w="2174" w:type="dxa"/>
          </w:tcPr>
          <w:p w:rsidR="00DD5290" w:rsidRDefault="00DD5290" w:rsidP="00FA546B"/>
        </w:tc>
      </w:tr>
      <w:tr w:rsidR="00DD5290" w:rsidTr="00DD5290">
        <w:tc>
          <w:tcPr>
            <w:tcW w:w="1875" w:type="dxa"/>
          </w:tcPr>
          <w:p w:rsidR="00DD5290" w:rsidRDefault="00DD5290" w:rsidP="00FA546B">
            <w:r>
              <w:t>Controlling</w:t>
            </w:r>
          </w:p>
        </w:tc>
        <w:tc>
          <w:tcPr>
            <w:tcW w:w="2021" w:type="dxa"/>
          </w:tcPr>
          <w:p w:rsidR="00DD5290" w:rsidRDefault="00DD5290" w:rsidP="00FA546B">
            <w:r>
              <w:t>Kostenmanagement</w:t>
            </w:r>
          </w:p>
        </w:tc>
        <w:tc>
          <w:tcPr>
            <w:tcW w:w="1571" w:type="dxa"/>
          </w:tcPr>
          <w:p w:rsidR="00DD5290" w:rsidRDefault="00DD5290" w:rsidP="00FA546B"/>
        </w:tc>
        <w:tc>
          <w:tcPr>
            <w:tcW w:w="1823" w:type="dxa"/>
          </w:tcPr>
          <w:p w:rsidR="00DD5290" w:rsidRDefault="00DD5290" w:rsidP="00FA546B"/>
        </w:tc>
        <w:tc>
          <w:tcPr>
            <w:tcW w:w="2174" w:type="dxa"/>
          </w:tcPr>
          <w:p w:rsidR="00DD5290" w:rsidRDefault="00DD5290" w:rsidP="00FA546B"/>
        </w:tc>
      </w:tr>
      <w:tr w:rsidR="00DD5290" w:rsidTr="00DD5290">
        <w:tc>
          <w:tcPr>
            <w:tcW w:w="1875" w:type="dxa"/>
          </w:tcPr>
          <w:p w:rsidR="00DD5290" w:rsidRDefault="00DD5290" w:rsidP="00FA546B">
            <w:r>
              <w:t>Informatik und Organisation</w:t>
            </w:r>
          </w:p>
        </w:tc>
        <w:tc>
          <w:tcPr>
            <w:tcW w:w="2021" w:type="dxa"/>
          </w:tcPr>
          <w:p w:rsidR="00DD5290" w:rsidRDefault="00DD5290" w:rsidP="00FA546B">
            <w:r>
              <w:t>Interne Prozesse</w:t>
            </w:r>
          </w:p>
        </w:tc>
        <w:tc>
          <w:tcPr>
            <w:tcW w:w="1571" w:type="dxa"/>
          </w:tcPr>
          <w:p w:rsidR="00DD5290" w:rsidRDefault="00DD5290" w:rsidP="00FA546B"/>
        </w:tc>
        <w:tc>
          <w:tcPr>
            <w:tcW w:w="1823" w:type="dxa"/>
          </w:tcPr>
          <w:p w:rsidR="00DD5290" w:rsidRDefault="00DD5290" w:rsidP="00FA546B"/>
        </w:tc>
        <w:tc>
          <w:tcPr>
            <w:tcW w:w="2174" w:type="dxa"/>
          </w:tcPr>
          <w:p w:rsidR="00DD5290" w:rsidRDefault="00DD5290" w:rsidP="00FA546B"/>
        </w:tc>
      </w:tr>
    </w:tbl>
    <w:p w:rsidR="00FA546B" w:rsidRPr="00FA546B" w:rsidRDefault="00FA546B" w:rsidP="00FA546B"/>
    <w:sectPr w:rsidR="00FA546B" w:rsidRPr="00FA54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11"/>
    <w:rsid w:val="000F1A11"/>
    <w:rsid w:val="00202ADE"/>
    <w:rsid w:val="002F2976"/>
    <w:rsid w:val="00730037"/>
    <w:rsid w:val="00805FED"/>
    <w:rsid w:val="00B43D05"/>
    <w:rsid w:val="00DD5290"/>
    <w:rsid w:val="00EF55DA"/>
    <w:rsid w:val="00FA546B"/>
    <w:rsid w:val="00F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54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5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54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FA546B"/>
  </w:style>
  <w:style w:type="table" w:styleId="Tabellenraster">
    <w:name w:val="Table Grid"/>
    <w:basedOn w:val="NormaleTabelle"/>
    <w:uiPriority w:val="59"/>
    <w:rsid w:val="00FA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54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5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54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FA546B"/>
  </w:style>
  <w:style w:type="table" w:styleId="Tabellenraster">
    <w:name w:val="Table Grid"/>
    <w:basedOn w:val="NormaleTabelle"/>
    <w:uiPriority w:val="59"/>
    <w:rsid w:val="00FA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9</cp:revision>
  <cp:lastPrinted>2018-06-17T14:21:00Z</cp:lastPrinted>
  <dcterms:created xsi:type="dcterms:W3CDTF">2018-06-17T14:11:00Z</dcterms:created>
  <dcterms:modified xsi:type="dcterms:W3CDTF">2018-06-17T14:21:00Z</dcterms:modified>
</cp:coreProperties>
</file>