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3C502" w14:textId="77777777" w:rsidR="002F59E9" w:rsidRPr="002F59E9" w:rsidRDefault="002F59E9" w:rsidP="002F59E9">
      <w:pPr>
        <w:spacing w:after="100" w:afterAutospacing="1"/>
        <w:outlineLvl w:val="3"/>
        <w:rPr>
          <w:rFonts w:ascii="Helvetica Neue" w:eastAsia="Times New Roman" w:hAnsi="Helvetica Neue" w:cs="Times New Roman"/>
          <w:color w:val="212529"/>
        </w:rPr>
      </w:pPr>
      <w:r w:rsidRPr="002F59E9">
        <w:rPr>
          <w:rFonts w:ascii="Helvetica Neue" w:eastAsia="Times New Roman" w:hAnsi="Helvetica Neue" w:cs="Times New Roman"/>
          <w:color w:val="212529"/>
        </w:rPr>
        <w:t>Reviews</w:t>
      </w:r>
    </w:p>
    <w:p w14:paraId="3399B35F" w14:textId="77777777" w:rsidR="002F59E9" w:rsidRPr="002F59E9" w:rsidRDefault="002F59E9" w:rsidP="002F59E9">
      <w:pPr>
        <w:spacing w:after="100" w:afterAutospacing="1"/>
        <w:outlineLvl w:val="3"/>
        <w:rPr>
          <w:rFonts w:ascii="Helvetica Neue" w:eastAsia="Times New Roman" w:hAnsi="Helvetica Neue" w:cs="Times New Roman"/>
          <w:color w:val="212529"/>
        </w:rPr>
      </w:pPr>
      <w:r w:rsidRPr="002F59E9">
        <w:rPr>
          <w:rFonts w:ascii="Helvetica Neue" w:eastAsia="Times New Roman" w:hAnsi="Helvetica Neue" w:cs="Times New Roman"/>
          <w:color w:val="212529"/>
        </w:rPr>
        <w:t>3 ICC 2020 Symposiums</w:t>
      </w:r>
    </w:p>
    <w:p w14:paraId="2A830E97" w14:textId="77777777" w:rsidR="002F59E9" w:rsidRPr="002F59E9" w:rsidRDefault="002F59E9" w:rsidP="002F59E9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Review 1 (Reviewer 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2412"/>
        <w:gridCol w:w="3463"/>
        <w:gridCol w:w="1715"/>
      </w:tblGrid>
      <w:tr w:rsidR="002F59E9" w:rsidRPr="002F59E9" w14:paraId="1A7E890C" w14:textId="77777777" w:rsidTr="002F59E9">
        <w:trPr>
          <w:tblCellSpacing w:w="15" w:type="dxa"/>
        </w:trPr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0D390D9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Relevance and timeliness</w:t>
            </w:r>
          </w:p>
        </w:tc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F688E14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 xml:space="preserve">Technical content and scientific </w:t>
            </w:r>
            <w:proofErr w:type="spellStart"/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rigour</w:t>
            </w:r>
            <w:proofErr w:type="spellEnd"/>
          </w:p>
        </w:tc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91F6669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Novelty and originality</w:t>
            </w:r>
          </w:p>
        </w:tc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4A8CAF2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Quality of presentation</w:t>
            </w:r>
          </w:p>
        </w:tc>
      </w:tr>
      <w:tr w:rsidR="002F59E9" w:rsidRPr="002F59E9" w14:paraId="32005F15" w14:textId="77777777" w:rsidTr="002F59E9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35C50C1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Excellent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(5)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792A2DB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Valid work but limited contribution.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(3)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F7E5B84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Some interesting ideas and results on a subject well investigated.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(3)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D899405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Excellent.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(5)</w:t>
            </w:r>
          </w:p>
        </w:tc>
      </w:tr>
    </w:tbl>
    <w:p w14:paraId="534C653F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Strong aspects (Comments to the author: what are the strong aspects of the paper)</w:t>
      </w:r>
    </w:p>
    <w:p w14:paraId="34D4F9B4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The submitted manuscript shows a solution for designing a </w:t>
      </w:r>
      <w:proofErr w:type="gramStart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high performance</w:t>
      </w:r>
      <w:proofErr w:type="gramEnd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ETA, starting from the baseline Cisco Joy ETA, compliant with x86 processors picked by a network edge. The introduction of machine learning techniques is the added value proposed for the identification of encrypted malware network flows. The most appreciable contribution of </w:t>
      </w:r>
      <w:proofErr w:type="spellStart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teh</w:t>
      </w:r>
      <w:proofErr w:type="spellEnd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paper is the proposed </w:t>
      </w:r>
      <w:proofErr w:type="spellStart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archietecture</w:t>
      </w:r>
      <w:proofErr w:type="spellEnd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. The paper is clear and well written.</w:t>
      </w:r>
    </w:p>
    <w:p w14:paraId="697C43BB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Weak aspects (Comments to the author: what are the weak aspects of the paper?)</w:t>
      </w:r>
    </w:p>
    <w:p w14:paraId="5F3F58DD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The implementation presented in the paper is based on well-known Python libraries. Although the implementation effort produced is appreciable, as well as the performance evaluation results are promising, for the novel architecture to be considered in operation in high-end system dealing very large traffic volumes some latency issues are still expected. From the point of view of ML algorithms, the paper does not include any novelties.</w:t>
      </w:r>
    </w:p>
    <w:p w14:paraId="1C4100C3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Recommended changes (Please indicate any changes that should be made to the paper if accepted.)</w:t>
      </w:r>
    </w:p>
    <w:p w14:paraId="04C6F097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The paper is well structured as it is. However, it would be nice to see the achievable performance by using better equipped machines, in particular with larger RAM.</w:t>
      </w:r>
    </w:p>
    <w:p w14:paraId="5F0889B9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Submission Policy (Does the paper list the same author(s), title and abstract (minor wording differences in the abstract are okay) in its PDF file and EDAS registration? (yes/no))</w:t>
      </w:r>
    </w:p>
    <w:p w14:paraId="6598793D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Yes, it does.</w:t>
      </w:r>
    </w:p>
    <w:p w14:paraId="256FFCBE" w14:textId="77777777" w:rsidR="002F59E9" w:rsidRPr="002F59E9" w:rsidRDefault="002F59E9" w:rsidP="002F59E9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Review 2 (Reviewer 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447"/>
        <w:gridCol w:w="3544"/>
        <w:gridCol w:w="1690"/>
      </w:tblGrid>
      <w:tr w:rsidR="002F59E9" w:rsidRPr="002F59E9" w14:paraId="2A61E5EB" w14:textId="77777777" w:rsidTr="002F59E9">
        <w:trPr>
          <w:tblCellSpacing w:w="15" w:type="dxa"/>
        </w:trPr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43FC7DC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Relevance and timeliness</w:t>
            </w:r>
          </w:p>
        </w:tc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DE31DA9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 xml:space="preserve">Technical content and scientific </w:t>
            </w:r>
            <w:proofErr w:type="spellStart"/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rigour</w:t>
            </w:r>
            <w:proofErr w:type="spellEnd"/>
          </w:p>
        </w:tc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CF5B4F5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Novelty and originality</w:t>
            </w:r>
          </w:p>
        </w:tc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92C0FAA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Quality of presentation</w:t>
            </w:r>
          </w:p>
        </w:tc>
      </w:tr>
      <w:tr w:rsidR="002F59E9" w:rsidRPr="002F59E9" w14:paraId="7A5142E8" w14:textId="77777777" w:rsidTr="002F59E9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8BE3746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Good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(4)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45B362D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Valid work but limited contribution.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(3)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A3A033C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Some interesting ideas and results on a subject well investigated.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(3)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E9AF90D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Well written.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(4)</w:t>
            </w:r>
          </w:p>
        </w:tc>
      </w:tr>
    </w:tbl>
    <w:p w14:paraId="1A80C0A9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Strong aspects (Comments to the author: what are the strong aspects of the paper)</w:t>
      </w:r>
    </w:p>
    <w:p w14:paraId="586BC8F8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The paper investigates the identification of network threats on encrypted traffic flows using machine learning techniques. Motivated by the usage of x86 platforms at the edge and advancements on next-generation processors, the authors propose a modification on the Cisco open-sourced ETA software Joy to multithreading processing. Also, they extend the software with three new machine-learning models.</w:t>
      </w:r>
    </w:p>
    <w:p w14:paraId="3A09A710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Weak aspects (Comments to the author: what are the weak aspects of the paper?)</w:t>
      </w:r>
    </w:p>
    <w:p w14:paraId="1F5AE9E8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- Section 1 could be renamed introduction and motivation and Section 2 could focus on explaining Joy and how it works. Therefore, in section 3, the authors could focus on the changes and extensions made in the software. - As the paper contribution is the modification of existing </w:t>
      </w: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lastRenderedPageBreak/>
        <w:t>software to improve performance and run in multithread processors, the authors could open the software source code to the academia for further advancements in the area, otherwise, I don't see how the readers can avail from this work. - Algorithms 1 and 2 could be represented as pipelines figures as they present sequential steps and do not have complex logical steps</w:t>
      </w:r>
    </w:p>
    <w:p w14:paraId="7DCC1BA1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Recommended changes (Please indicate any changes that should be made to the paper if accepted.)</w:t>
      </w:r>
    </w:p>
    <w:p w14:paraId="1A4CF217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The recommended changes are presented in the Weak aspects</w:t>
      </w:r>
    </w:p>
    <w:p w14:paraId="14F026E9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Submission Policy (Does the paper list the same author(s), title and abstract (minor wording differences in the abstract are okay) in its PDF file and EDAS registration? (yes/no))</w:t>
      </w:r>
    </w:p>
    <w:p w14:paraId="5C118838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Yes</w:t>
      </w:r>
    </w:p>
    <w:p w14:paraId="27A3A270" w14:textId="77777777" w:rsidR="002F59E9" w:rsidRPr="002F59E9" w:rsidRDefault="002F59E9" w:rsidP="002F59E9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Review 3 (Reviewer 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2673"/>
        <w:gridCol w:w="2911"/>
        <w:gridCol w:w="1821"/>
      </w:tblGrid>
      <w:tr w:rsidR="002F59E9" w:rsidRPr="002F59E9" w14:paraId="7CE04144" w14:textId="77777777" w:rsidTr="002F59E9">
        <w:trPr>
          <w:tblCellSpacing w:w="15" w:type="dxa"/>
        </w:trPr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B9B7136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Relevance and timeliness</w:t>
            </w:r>
          </w:p>
        </w:tc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5530C3F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 xml:space="preserve">Technical content and scientific </w:t>
            </w:r>
            <w:proofErr w:type="spellStart"/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rigour</w:t>
            </w:r>
            <w:proofErr w:type="spellEnd"/>
          </w:p>
        </w:tc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E098860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Novelty and originality</w:t>
            </w:r>
          </w:p>
        </w:tc>
        <w:tc>
          <w:tcPr>
            <w:tcW w:w="0" w:type="auto"/>
            <w:shd w:val="clear" w:color="auto" w:fill="D6D6D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EC1D39E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Quality of presentation</w:t>
            </w:r>
          </w:p>
        </w:tc>
      </w:tr>
      <w:tr w:rsidR="002F59E9" w:rsidRPr="002F59E9" w14:paraId="5ACDB174" w14:textId="77777777" w:rsidTr="002F59E9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234CAFC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Excellent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(5)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E5BF3FE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Solid work of notable importance.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(4)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8AC5E4C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Significant original work and novel results.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(4)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7AA495F" w14:textId="77777777" w:rsidR="002F59E9" w:rsidRPr="002F59E9" w:rsidRDefault="002F59E9" w:rsidP="002F59E9">
            <w:pPr>
              <w:spacing w:before="120"/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</w:pPr>
            <w:r w:rsidRPr="002F59E9">
              <w:rPr>
                <w:rFonts w:ascii="Helvetica Neue" w:eastAsia="Times New Roman" w:hAnsi="Helvetica Neue" w:cs="Times New Roman"/>
                <w:color w:val="212529"/>
                <w:sz w:val="20"/>
                <w:szCs w:val="20"/>
              </w:rPr>
              <w:t>Well written.</w:t>
            </w:r>
            <w:r w:rsidRPr="002F59E9">
              <w:rPr>
                <w:rFonts w:ascii="Helvetica Neue" w:eastAsia="Times New Roman" w:hAnsi="Helvetica Neue" w:cs="Times New Roman"/>
                <w:color w:val="212529"/>
                <w:sz w:val="19"/>
                <w:szCs w:val="19"/>
              </w:rPr>
              <w:t> (4)</w:t>
            </w:r>
          </w:p>
        </w:tc>
      </w:tr>
    </w:tbl>
    <w:p w14:paraId="201D975E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Strong aspects (Comments to the author: what are the strong aspects of the paper)</w:t>
      </w:r>
    </w:p>
    <w:p w14:paraId="2A44BE07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The paper studies the problem of encrypted traffic analytics based on machine </w:t>
      </w:r>
      <w:proofErr w:type="gramStart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learning, and</w:t>
      </w:r>
      <w:proofErr w:type="gramEnd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designs a corresponding software system. The system is an improvement of Cisco's encrypted traffic analytics software Joy. The main novelties </w:t>
      </w:r>
      <w:proofErr w:type="gramStart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are:</w:t>
      </w:r>
      <w:proofErr w:type="gramEnd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the system exploits multithreading and two Intel machine learning software packages, and implemented three new types of learning algorithms compared to Joy.</w:t>
      </w:r>
    </w:p>
    <w:p w14:paraId="2A3AD3F5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Weak aspects (Comments to the author: what are the weak aspects of the paper?)</w:t>
      </w:r>
    </w:p>
    <w:p w14:paraId="2DE2276F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It is mentioned that the open-sourced version of Joy only has logistic regression as the learning algorithm. Does Joy have other learning algorithms that are not open-sourced? Is the software of this paper open-sourced? In the abstract, it is said that "we are able to boost the performance by a maximum order of 32x and 46x respectively." Does performance mean </w:t>
      </w:r>
      <w:proofErr w:type="gramStart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running</w:t>
      </w:r>
      <w:proofErr w:type="gramEnd"/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time? Do these factors refer to the overall time or the inference time? If it is only inference time, then it does not seem a fair comparison because the overall time matters more. Section III-B, the first paragraph in this paragraph may be removed since the features are summarized in the bullets next. Typo. Page 2, right column, first bullet, should be "features include"</w:t>
      </w:r>
    </w:p>
    <w:p w14:paraId="580FA776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Recommended changes (Please indicate any changes that should be made to the paper if accepted.)</w:t>
      </w:r>
    </w:p>
    <w:p w14:paraId="6B984769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Same as weak aspects.</w:t>
      </w:r>
    </w:p>
    <w:p w14:paraId="4BF8766A" w14:textId="77777777" w:rsidR="002F59E9" w:rsidRPr="002F59E9" w:rsidRDefault="002F59E9" w:rsidP="002F59E9">
      <w:pPr>
        <w:spacing w:before="240"/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</w:pPr>
      <w:r w:rsidRPr="002F59E9">
        <w:rPr>
          <w:rFonts w:ascii="Helvetica Neue" w:eastAsia="Times New Roman" w:hAnsi="Helvetica Neue" w:cs="Times New Roman"/>
          <w:b/>
          <w:bCs/>
          <w:color w:val="212529"/>
          <w:sz w:val="19"/>
          <w:szCs w:val="19"/>
        </w:rPr>
        <w:t>Submission Policy (Does the paper list the same author(s), title and abstract (minor wording differences in the abstract are okay) in its PDF file and EDAS registration? (yes/no))</w:t>
      </w:r>
    </w:p>
    <w:p w14:paraId="15E3904F" w14:textId="77777777" w:rsidR="002F59E9" w:rsidRPr="002F59E9" w:rsidRDefault="002F59E9" w:rsidP="002F59E9">
      <w:pPr>
        <w:shd w:val="clear" w:color="auto" w:fill="FFDDBF"/>
        <w:ind w:left="720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2F59E9">
        <w:rPr>
          <w:rFonts w:ascii="Helvetica Neue" w:eastAsia="Times New Roman" w:hAnsi="Helvetica Neue" w:cs="Times New Roman"/>
          <w:color w:val="212529"/>
          <w:sz w:val="20"/>
          <w:szCs w:val="20"/>
        </w:rPr>
        <w:t>Yes</w:t>
      </w:r>
    </w:p>
    <w:p w14:paraId="5623EB55" w14:textId="77777777" w:rsidR="00EF6AF1" w:rsidRDefault="002F59E9">
      <w:bookmarkStart w:id="0" w:name="_GoBack"/>
      <w:bookmarkEnd w:id="0"/>
    </w:p>
    <w:sectPr w:rsidR="00EF6AF1" w:rsidSect="00DE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E9"/>
    <w:rsid w:val="002F59E9"/>
    <w:rsid w:val="00A4545E"/>
    <w:rsid w:val="00AA5965"/>
    <w:rsid w:val="00D4798E"/>
    <w:rsid w:val="00DE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FA7B6"/>
  <w15:chartTrackingRefBased/>
  <w15:docId w15:val="{5FF211D4-4E7D-A147-A789-76B7469E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59E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2F59E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59E9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F59E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reviewscore">
    <w:name w:val="reviewscore"/>
    <w:basedOn w:val="DefaultParagraphFont"/>
    <w:rsid w:val="002F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Peilong Li</dc:creator>
  <cp:keywords/>
  <dc:description/>
  <cp:lastModifiedBy>Peilong Li</cp:lastModifiedBy>
  <cp:revision>1</cp:revision>
  <dcterms:created xsi:type="dcterms:W3CDTF">2020-01-28T03:04:00Z</dcterms:created>
  <dcterms:modified xsi:type="dcterms:W3CDTF">2020-01-28T03:05:00Z</dcterms:modified>
</cp:coreProperties>
</file>