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DAX25-16【文献】知的財産推進計画2017（2017年5月16日内閣官房知的財産戦略本部）</w:t>
      </w:r>
    </w:p>
    <w:p>
      <w:pPr>
        <w:numPr>
          <w:ilvl w:val="0"/>
          <w:numId w:val="0"/>
        </w:numPr>
        <w:ind w:left="0"/>
      </w:pPr>
    </w:p>
    <w:p>
      <w:pPr>
        <w:numPr>
          <w:ilvl w:val="0"/>
          <w:numId w:val="0"/>
        </w:numPr>
        <w:ind w:left="108"/>
        <w:rPr>
          <w:color w:val="auto"/>
          <w:u w:val="none"/>
        </w:rPr>
      </w:pPr>
      <w:r>
        <w:t xml:space="preserve">参照: </w:t>
      </w:r>
      <w:hyperlink r:id="rId5" w:history="1">
        <w:r>
          <w:rPr>
            <w:rStyle w:val="Hyperlink"/>
            <w:color w:val="0000FF"/>
            <w:u w:val="single"/>
          </w:rPr>
          <w:t>http://www.kantei.go.jp/jp/singi/titeki2/170516/gijisidai.html</w:t>
        </w:r>
      </w:hyperlink>
      <w:r>
        <w:rPr>
          <w:color w:val="auto"/>
          <w:u w:val="none"/>
        </w:rPr>
        <w:t xml:space="preserve">; </w:t>
      </w:r>
    </w:p>
    <w:p>
      <w:pPr>
        <w:numPr>
          <w:ilvl w:val="0"/>
          <w:numId w:val="0"/>
        </w:numPr>
        <w:ind w:left="0"/>
      </w:pPr>
    </w:p>
    <w:p>
      <w:pPr>
        <w:pStyle w:val="Heading1"/>
        <w:numPr>
          <w:ilvl w:val="0"/>
          <w:numId w:val="104"/>
        </w:numPr>
      </w:pPr>
      <w:r>
        <w:t>構成</w:t>
      </w:r>
    </w:p>
    <w:p>
      <w:pPr>
        <w:pStyle w:val="Heading2"/>
        <w:numPr>
          <w:ilvl w:val="1"/>
          <w:numId w:val="104"/>
        </w:numPr>
      </w:pPr>
      <w:r>
        <w:t>イノベーション創出</w:t>
      </w:r>
    </w:p>
    <w:p>
      <w:pPr>
        <w:numPr>
          <w:ilvl w:val="2"/>
          <w:numId w:val="104"/>
        </w:numPr>
      </w:pPr>
      <w:r>
        <w:t>I-3グローバル市場をリードする知財・標準化戦略の一体的推進</w:t>
      </w:r>
    </w:p>
    <w:p>
      <w:pPr>
        <w:numPr>
          <w:ilvl w:val="3"/>
          <w:numId w:val="104"/>
        </w:numPr>
      </w:pPr>
      <w:r>
        <w:t>・総合的な知財マネジメントの推進（知財に加えデータ・標準等）</w:t>
      </w:r>
    </w:p>
    <w:p>
      <w:pPr>
        <w:numPr>
          <w:ilvl w:val="3"/>
          <w:numId w:val="104"/>
        </w:numPr>
      </w:pPr>
      <w:r>
        <w:t>・国立研究開発法人を活用した業種横断的な標準化の推進、 人材育成</w:t>
      </w:r>
    </w:p>
    <w:p>
      <w:pPr>
        <w:numPr>
          <w:ilvl w:val="2"/>
          <w:numId w:val="104"/>
        </w:numPr>
      </w:pPr>
      <w:r>
        <w:t>I-2 知財システム基盤の整備</w:t>
      </w:r>
    </w:p>
    <w:p>
      <w:pPr>
        <w:numPr>
          <w:ilvl w:val="3"/>
          <w:numId w:val="104"/>
        </w:numPr>
      </w:pPr>
      <w:r>
        <w:t>・証拠収集手続の強化</w:t>
      </w:r>
    </w:p>
    <w:p>
      <w:pPr>
        <w:numPr>
          <w:ilvl w:val="3"/>
          <w:numId w:val="104"/>
        </w:numPr>
      </w:pPr>
      <w:r>
        <w:t>・ＡＤＲ制度（標準必須特許裁定）の創設</w:t>
      </w:r>
    </w:p>
    <w:p>
      <w:pPr>
        <w:numPr>
          <w:ilvl w:val="2"/>
          <w:numId w:val="104"/>
        </w:numPr>
      </w:pPr>
      <w:r>
        <w:t>I-1 データ、 人工知能の利活用促進による産業競争力強化に向けた知財制度の構築</w:t>
      </w:r>
    </w:p>
    <w:p>
      <w:pPr>
        <w:numPr>
          <w:ilvl w:val="3"/>
          <w:numId w:val="104"/>
        </w:numPr>
      </w:pPr>
      <w:r>
        <w:t>・データ利用の契約ガイドラインの策定</w:t>
      </w:r>
    </w:p>
    <w:p>
      <w:pPr>
        <w:numPr>
          <w:ilvl w:val="3"/>
          <w:numId w:val="104"/>
        </w:numPr>
      </w:pPr>
      <w:r>
        <w:t>・不正競争防止法改正（データの不正取得等の禁止等）</w:t>
      </w:r>
    </w:p>
    <w:p>
      <w:pPr>
        <w:numPr>
          <w:ilvl w:val="3"/>
          <w:numId w:val="104"/>
        </w:numPr>
      </w:pPr>
      <w:r>
        <w:t>・著作権法改正（柔軟性のある権利制限規定の整備）</w:t>
      </w:r>
    </w:p>
    <w:p>
      <w:pPr>
        <w:numPr>
          <w:ilvl w:val="3"/>
          <w:numId w:val="104"/>
        </w:numPr>
      </w:pPr>
      <w:r>
        <w:t>・ＡＩ学習済モデルの特許化の具体的要件や保護範囲の検討</w:t>
      </w:r>
    </w:p>
    <w:p>
      <w:pPr>
        <w:numPr>
          <w:ilvl w:val="2"/>
          <w:numId w:val="104"/>
        </w:numPr>
      </w:pPr>
      <w:r>
        <w:t>Ｉ第４次産業革命（Society5.0）の基盤となる知財システムの構築</w:t>
      </w:r>
    </w:p>
    <w:p>
      <w:pPr>
        <w:pStyle w:val="Heading2"/>
        <w:numPr>
          <w:ilvl w:val="1"/>
          <w:numId w:val="104"/>
        </w:numPr>
      </w:pPr>
      <w:r>
        <w:t>地方創生</w:t>
      </w:r>
    </w:p>
    <w:p>
      <w:pPr>
        <w:numPr>
          <w:ilvl w:val="2"/>
          <w:numId w:val="104"/>
        </w:numPr>
      </w:pPr>
      <w:r>
        <w:t>II-2地方・中小企業による知財活用と産学・産産連携の推進</w:t>
      </w:r>
    </w:p>
    <w:p>
      <w:pPr>
        <w:numPr>
          <w:ilvl w:val="3"/>
          <w:numId w:val="104"/>
        </w:numPr>
      </w:pPr>
      <w:r>
        <w:t>・中小企業への知財意識の普及啓発、 知財を活用した海外展開支援</w:t>
      </w:r>
    </w:p>
    <w:p>
      <w:pPr>
        <w:numPr>
          <w:ilvl w:val="3"/>
          <w:numId w:val="104"/>
        </w:numPr>
      </w:pPr>
      <w:r>
        <w:t>・産学連携の橋渡し・事業化支援</w:t>
      </w:r>
    </w:p>
    <w:p>
      <w:pPr>
        <w:numPr>
          <w:ilvl w:val="2"/>
          <w:numId w:val="104"/>
        </w:numPr>
      </w:pPr>
      <w:r>
        <w:t>II-1 「攻め」の農林水産業・食料産業等を支える知財活用・強化</w:t>
      </w:r>
    </w:p>
    <w:p>
      <w:pPr>
        <w:numPr>
          <w:ilvl w:val="3"/>
          <w:numId w:val="104"/>
        </w:numPr>
      </w:pPr>
      <w:r>
        <w:t>・地理的表示(GI)や植物品種の国内外での保護、 相談体制の充実</w:t>
      </w:r>
    </w:p>
    <w:p>
      <w:pPr>
        <w:numPr>
          <w:ilvl w:val="3"/>
          <w:numId w:val="104"/>
        </w:numPr>
      </w:pPr>
      <w:r>
        <w:t>・我が国農林水産物の強みをアピールするJAS規格の制定</w:t>
      </w:r>
    </w:p>
    <w:p>
      <w:pPr>
        <w:numPr>
          <w:ilvl w:val="3"/>
          <w:numId w:val="104"/>
        </w:numPr>
      </w:pPr>
      <w:r>
        <w:t>・データ等を活用したスマート農業の推進</w:t>
      </w:r>
    </w:p>
    <w:p>
      <w:pPr>
        <w:numPr>
          <w:ilvl w:val="2"/>
          <w:numId w:val="104"/>
        </w:numPr>
      </w:pPr>
      <w:r>
        <w:t>II-3 「国民一人ひとりが知財人材」を目指した知財教育・知財人材育成の推進</w:t>
      </w:r>
    </w:p>
    <w:p>
      <w:pPr>
        <w:numPr>
          <w:ilvl w:val="3"/>
          <w:numId w:val="104"/>
        </w:numPr>
      </w:pPr>
      <w:r>
        <w:t>・新学習指導要領における知財教育の充実</w:t>
      </w:r>
    </w:p>
    <w:p>
      <w:pPr>
        <w:numPr>
          <w:ilvl w:val="3"/>
          <w:numId w:val="104"/>
        </w:numPr>
      </w:pPr>
      <w:r>
        <w:t>・「知財創造教育推進コンソーシアム」によるカリキュラム・教材開発</w:t>
      </w:r>
    </w:p>
    <w:p>
      <w:pPr>
        <w:numPr>
          <w:ilvl w:val="3"/>
          <w:numId w:val="104"/>
        </w:numPr>
      </w:pPr>
      <w:r>
        <w:t>・「地域コンソーシアム」構築</w:t>
      </w:r>
    </w:p>
    <w:p>
      <w:pPr>
        <w:numPr>
          <w:ilvl w:val="2"/>
          <w:numId w:val="104"/>
        </w:numPr>
      </w:pPr>
      <w:r>
        <w:t>ＩＩ知財の潜在力を活用した地方創生とイノベーション推進</w:t>
      </w:r>
    </w:p>
    <w:p>
      <w:pPr>
        <w:pStyle w:val="Heading2"/>
        <w:numPr>
          <w:ilvl w:val="1"/>
          <w:numId w:val="104"/>
        </w:numPr>
      </w:pPr>
      <w:r>
        <w:t>文化創造</w:t>
      </w:r>
    </w:p>
    <w:p>
      <w:pPr>
        <w:numPr>
          <w:ilvl w:val="2"/>
          <w:numId w:val="104"/>
        </w:numPr>
      </w:pPr>
      <w:r>
        <w:t>III-1 コンテンツの海外展開促進と産業基盤の強化</w:t>
      </w:r>
    </w:p>
    <w:p>
      <w:pPr>
        <w:numPr>
          <w:ilvl w:val="3"/>
          <w:numId w:val="104"/>
        </w:numPr>
      </w:pPr>
      <w:r>
        <w:t>・「クールジャパン官民連携プラットフォーム」、 地方版クールジャパン会議と拠点構築・相互連携</w:t>
      </w:r>
    </w:p>
    <w:p>
      <w:pPr>
        <w:numPr>
          <w:ilvl w:val="3"/>
          <w:numId w:val="104"/>
        </w:numPr>
      </w:pPr>
      <w:r>
        <w:t>・コンテンツ分野の人材育成・教育機関との連携</w:t>
      </w:r>
    </w:p>
    <w:p>
      <w:pPr>
        <w:numPr>
          <w:ilvl w:val="2"/>
          <w:numId w:val="104"/>
        </w:numPr>
      </w:pPr>
      <w:r>
        <w:t>III-2 映画産業の振興</w:t>
      </w:r>
    </w:p>
    <w:p>
      <w:pPr>
        <w:numPr>
          <w:ilvl w:val="3"/>
          <w:numId w:val="104"/>
        </w:numPr>
      </w:pPr>
      <w:r>
        <w:t>・制作支援強化や資金調達の多様化による中小制作会社等の海外展開促進</w:t>
      </w:r>
    </w:p>
    <w:p>
      <w:pPr>
        <w:numPr>
          <w:ilvl w:val="3"/>
          <w:numId w:val="104"/>
        </w:numPr>
      </w:pPr>
      <w:r>
        <w:t>・ロケ撮影の環境改善に係る官民連絡会議</w:t>
      </w:r>
    </w:p>
    <w:p>
      <w:pPr>
        <w:numPr>
          <w:ilvl w:val="2"/>
          <w:numId w:val="104"/>
        </w:numPr>
      </w:pPr>
      <w:r>
        <w:t>III-3 デジタルアーカイブの構築</w:t>
      </w:r>
    </w:p>
    <w:p>
      <w:pPr>
        <w:numPr>
          <w:ilvl w:val="3"/>
          <w:numId w:val="104"/>
        </w:numPr>
      </w:pPr>
      <w:r>
        <w:t>・国として分野横断統合ポータルを構築し、 産学官連携の下、 研究・ビジネス・インバウンド等に活用</w:t>
      </w:r>
    </w:p>
    <w:p>
      <w:pPr>
        <w:numPr>
          <w:ilvl w:val="2"/>
          <w:numId w:val="104"/>
        </w:numPr>
      </w:pPr>
      <w:r>
        <w:t>ＩＩＩ２０２０年とその先の日本を輝かせるコンテンツ力の強化</w:t>
      </w:r>
    </w:p>
    <w:p>
      <w:pPr>
        <w:pStyle w:val="Heading1"/>
        <w:numPr>
          <w:ilvl w:val="0"/>
          <w:numId w:val="104"/>
        </w:numPr>
      </w:pPr>
      <w:r>
        <w:t>本文</w:t>
      </w:r>
    </w:p>
    <w:p>
      <w:pPr>
        <w:pStyle w:val="Heading2"/>
        <w:numPr>
          <w:ilvl w:val="1"/>
          <w:numId w:val="104"/>
        </w:numPr>
      </w:pPr>
      <w:r>
        <w:t>はじめに</w:t>
      </w:r>
    </w:p>
    <w:p>
      <w:pPr>
        <w:pStyle w:val="Heading2"/>
        <w:numPr>
          <w:ilvl w:val="1"/>
          <w:numId w:val="104"/>
        </w:numPr>
      </w:pPr>
      <w:r>
        <w:t>I．第４次産業革命（Society5.0）の基盤となる知財システムの構築</w:t>
      </w:r>
    </w:p>
    <w:p>
      <w:pPr>
        <w:numPr>
          <w:ilvl w:val="2"/>
          <w:numId w:val="104"/>
        </w:numPr>
      </w:pPr>
      <w:r>
        <w:t>１．データ・人工知能（AI）の利活用促進による産業競争力強化に向けた知財制度の構築</w:t>
      </w:r>
    </w:p>
    <w:p>
      <w:pPr>
        <w:numPr>
          <w:ilvl w:val="3"/>
          <w:numId w:val="104"/>
        </w:numPr>
      </w:pPr>
      <w:r>
        <w:t>（１）現状と課題</w:t>
      </w:r>
    </w:p>
    <w:p>
      <w:pPr>
        <w:numPr>
          <w:ilvl w:val="3"/>
          <w:numId w:val="104"/>
        </w:numPr>
      </w:pPr>
      <w:r>
        <w:t>（２）今後取り組むべき施策</w:t>
      </w:r>
    </w:p>
    <w:p>
      <w:pPr>
        <w:numPr>
          <w:ilvl w:val="2"/>
          <w:numId w:val="104"/>
        </w:numPr>
      </w:pPr>
      <w:r>
        <w:t>２．知財システム基盤の整備</w:t>
      </w:r>
    </w:p>
    <w:p>
      <w:pPr>
        <w:numPr>
          <w:ilvl w:val="3"/>
          <w:numId w:val="104"/>
        </w:numPr>
      </w:pPr>
      <w:r>
        <w:t>（１）現状と課題</w:t>
      </w:r>
    </w:p>
    <w:p>
      <w:pPr>
        <w:numPr>
          <w:ilvl w:val="3"/>
          <w:numId w:val="104"/>
        </w:numPr>
      </w:pPr>
      <w:r>
        <w:t>（２）今後取り組むべき施策</w:t>
      </w:r>
    </w:p>
    <w:p>
      <w:pPr>
        <w:numPr>
          <w:ilvl w:val="2"/>
          <w:numId w:val="104"/>
        </w:numPr>
      </w:pPr>
      <w:r>
        <w:t>３．グローバル市場をリードする知財・標準化戦略の一体的推進</w:t>
      </w:r>
    </w:p>
    <w:p>
      <w:pPr>
        <w:numPr>
          <w:ilvl w:val="3"/>
          <w:numId w:val="104"/>
        </w:numPr>
      </w:pPr>
      <w:r>
        <w:t>（１）現状と課題</w:t>
      </w:r>
    </w:p>
    <w:p>
      <w:pPr>
        <w:numPr>
          <w:ilvl w:val="3"/>
          <w:numId w:val="104"/>
        </w:numPr>
      </w:pPr>
      <w:r>
        <w:t>（２）今後取り組むべき施策</w:t>
      </w:r>
    </w:p>
    <w:p>
      <w:pPr>
        <w:pStyle w:val="Heading2"/>
        <w:numPr>
          <w:ilvl w:val="1"/>
          <w:numId w:val="104"/>
        </w:numPr>
      </w:pPr>
      <w:r>
        <w:t>II．知財の潜在力を活用した地方創生とイノベーション推進</w:t>
      </w:r>
    </w:p>
    <w:p>
      <w:pPr>
        <w:numPr>
          <w:ilvl w:val="2"/>
          <w:numId w:val="104"/>
        </w:numPr>
      </w:pPr>
      <w:r>
        <w:t>１．攻めの農林水産業・食料産業等を支える知財活用・強化</w:t>
      </w:r>
    </w:p>
    <w:p>
      <w:pPr>
        <w:numPr>
          <w:ilvl w:val="3"/>
          <w:numId w:val="104"/>
        </w:numPr>
      </w:pPr>
      <w:r>
        <w:t>（１）現状と課題</w:t>
      </w:r>
    </w:p>
    <w:p>
      <w:pPr>
        <w:numPr>
          <w:ilvl w:val="3"/>
          <w:numId w:val="104"/>
        </w:numPr>
      </w:pPr>
      <w:r>
        <w:t>（２）今後取り組むべき施策</w:t>
      </w:r>
    </w:p>
    <w:p>
      <w:pPr>
        <w:numPr>
          <w:ilvl w:val="2"/>
          <w:numId w:val="104"/>
        </w:numPr>
      </w:pPr>
      <w:r>
        <w:t>２．地方・中小企業による知財活用と産学・産産連携の推進</w:t>
      </w:r>
    </w:p>
    <w:p>
      <w:pPr>
        <w:numPr>
          <w:ilvl w:val="3"/>
          <w:numId w:val="104"/>
        </w:numPr>
      </w:pPr>
      <w:r>
        <w:t>（１）現状と課題</w:t>
      </w:r>
    </w:p>
    <w:p>
      <w:pPr>
        <w:numPr>
          <w:ilvl w:val="3"/>
          <w:numId w:val="104"/>
        </w:numPr>
      </w:pPr>
      <w:r>
        <w:t>（２）今後取り組むべき施策</w:t>
      </w:r>
    </w:p>
    <w:p>
      <w:pPr>
        <w:numPr>
          <w:ilvl w:val="2"/>
          <w:numId w:val="104"/>
        </w:numPr>
      </w:pPr>
      <w:r>
        <w:t>３．「国民一人ひとりが知財人材」を目指した知財教育・知財人材育成の推進</w:t>
      </w:r>
    </w:p>
    <w:p>
      <w:pPr>
        <w:numPr>
          <w:ilvl w:val="3"/>
          <w:numId w:val="104"/>
        </w:numPr>
      </w:pPr>
      <w:r>
        <w:t>（１）現状と課題</w:t>
      </w:r>
    </w:p>
    <w:p>
      <w:pPr>
        <w:numPr>
          <w:ilvl w:val="3"/>
          <w:numId w:val="104"/>
        </w:numPr>
      </w:pPr>
      <w:r>
        <w:t>（２）今後取り組むべき施策</w:t>
      </w:r>
    </w:p>
    <w:p>
      <w:pPr>
        <w:numPr>
          <w:ilvl w:val="2"/>
          <w:numId w:val="104"/>
        </w:numPr>
      </w:pPr>
      <w:r>
        <w:t>Ⅲ．2020 年とその先の日本を輝かせるコンテンツ力の強化</w:t>
      </w:r>
    </w:p>
    <w:p>
      <w:pPr>
        <w:numPr>
          <w:ilvl w:val="3"/>
          <w:numId w:val="104"/>
        </w:numPr>
      </w:pPr>
      <w:r>
        <w:t>１．コンテンツの海外展開促進と産業基盤の強化</w:t>
      </w:r>
    </w:p>
    <w:p>
      <w:pPr>
        <w:numPr>
          <w:ilvl w:val="4"/>
          <w:numId w:val="104"/>
        </w:numPr>
      </w:pPr>
      <w:r>
        <w:t>（１）現状と課題</w:t>
      </w:r>
    </w:p>
    <w:p>
      <w:pPr>
        <w:numPr>
          <w:ilvl w:val="4"/>
          <w:numId w:val="104"/>
        </w:numPr>
      </w:pPr>
      <w:r>
        <w:t>（２）今後取り組むべき施策</w:t>
      </w:r>
    </w:p>
    <w:p>
      <w:pPr>
        <w:numPr>
          <w:ilvl w:val="3"/>
          <w:numId w:val="104"/>
        </w:numPr>
      </w:pPr>
      <w:r>
        <w:t>２．映画産業の振興</w:t>
      </w:r>
    </w:p>
    <w:p>
      <w:pPr>
        <w:numPr>
          <w:ilvl w:val="4"/>
          <w:numId w:val="104"/>
        </w:numPr>
      </w:pPr>
      <w:r>
        <w:t>（１）現状と課題</w:t>
      </w:r>
    </w:p>
    <w:p>
      <w:pPr>
        <w:numPr>
          <w:ilvl w:val="4"/>
          <w:numId w:val="104"/>
        </w:numPr>
      </w:pPr>
      <w:r>
        <w:t>（２）今後取り組むべき施策</w:t>
      </w:r>
    </w:p>
    <w:p>
      <w:pPr>
        <w:numPr>
          <w:ilvl w:val="3"/>
          <w:numId w:val="104"/>
        </w:numPr>
      </w:pPr>
      <w:r>
        <w:t>３．デジタルアーカイブの構築</w:t>
      </w:r>
    </w:p>
    <w:p>
      <w:pPr>
        <w:numPr>
          <w:ilvl w:val="4"/>
          <w:numId w:val="104"/>
        </w:numPr>
      </w:pPr>
      <w:r>
        <w:t>（１）現状と課題</w:t>
      </w:r>
    </w:p>
    <w:p>
      <w:pPr>
        <w:numPr>
          <w:ilvl w:val="5"/>
          <w:numId w:val="104"/>
        </w:numPr>
      </w:pPr>
      <w:r>
        <w:t>Subtopic</w:t>
      </w:r>
    </w:p>
    <w:p>
      <w:pPr>
        <w:numPr>
          <w:ilvl w:val="0"/>
          <w:numId w:val="0"/>
        </w:numPr>
        <w:ind w:left="1760"/>
      </w:pPr>
    </w:p>
    <w:p>
      <w:pPr>
        <w:numPr>
          <w:ilvl w:val="0"/>
          <w:numId w:val="0"/>
        </w:numPr>
        <w:ind w:left="1760"/>
      </w:pPr>
      <w:r>
        <w:drawing>
          <wp:anchor simplePos="0" relativeHeight="251658240" behindDoc="0" locked="0" layoutInCell="1" allowOverlap="1">
            <wp:simplePos x="0" y="0"/>
            <wp:positionH relativeFrom="column">
              <wp:posOffset>1117600</wp:posOffset>
            </wp:positionH>
            <wp:positionV relativeFrom="line">
              <wp:posOffset>1270</wp:posOffset>
            </wp:positionV>
            <wp:extent cx="4282440" cy="4668014"/>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6"/>
                    <a:stretch>
                      <a:fillRect/>
                    </a:stretch>
                  </pic:blipFill>
                  <pic:spPr>
                    <a:xfrm>
                      <a:off x="0" y="0"/>
                      <a:ext cx="4282440" cy="4668014"/>
                    </a:xfrm>
                    <a:prstGeom prst="rect">
                      <a:avLst/>
                    </a:prstGeom>
                  </pic:spPr>
                </pic:pic>
              </a:graphicData>
            </a:graphic>
          </wp:anchor>
        </w:drawing>
      </w:r>
    </w:p>
    <w:p>
      <w:pPr>
        <w:numPr>
          <w:ilvl w:val="4"/>
          <w:numId w:val="104"/>
        </w:numPr>
      </w:pPr>
      <w:r>
        <w:t>（２）今後取り組むべき施策</w:t>
      </w:r>
    </w:p>
    <w:p>
      <w:pPr>
        <w:numPr>
          <w:ilvl w:val="5"/>
          <w:numId w:val="104"/>
        </w:numPr>
      </w:pPr>
      <w:r>
        <w:t>我が国における分野横断型統合ポータル構築に向けたアーカイブ間の連携と利活用を促進するため、 関係府省において以下の取組を推進することとする。</w:t>
      </w:r>
    </w:p>
    <w:p>
      <w:pPr>
        <w:numPr>
          <w:ilvl w:val="5"/>
          <w:numId w:val="104"/>
        </w:numPr>
      </w:pPr>
      <w:r>
        <w:t>①アーカイブ間連携と利活用の促進</w:t>
      </w:r>
    </w:p>
    <w:p>
      <w:pPr>
        <w:numPr>
          <w:ilvl w:val="5"/>
          <w:numId w:val="104"/>
        </w:numPr>
      </w:pPr>
      <w:r>
        <w:t>（産学官でのデジタルアーカイブのフォーラムの開催）</w:t>
      </w:r>
    </w:p>
    <w:p>
      <w:pPr>
        <w:numPr>
          <w:ilvl w:val="5"/>
          <w:numId w:val="104"/>
        </w:numPr>
      </w:pPr>
      <w:r>
        <w:t>（デジタルアーカイブ推進のための工程表の作成）</w:t>
      </w:r>
    </w:p>
    <w:p>
      <w:pPr>
        <w:numPr>
          <w:ilvl w:val="5"/>
          <w:numId w:val="104"/>
        </w:numPr>
      </w:pPr>
      <w:r>
        <w:t>（国の統合ポータルの構築）</w:t>
      </w:r>
    </w:p>
    <w:p>
      <w:pPr>
        <w:numPr>
          <w:ilvl w:val="5"/>
          <w:numId w:val="104"/>
        </w:numPr>
      </w:pPr>
      <w:r>
        <w:t>（国の各アーカイブ機関におけるガイドラインの順守）</w:t>
      </w:r>
    </w:p>
    <w:p>
      <w:pPr>
        <w:numPr>
          <w:ilvl w:val="5"/>
          <w:numId w:val="104"/>
        </w:numPr>
      </w:pPr>
      <w:r>
        <w:t>（利活用の推進のための連携）</w:t>
      </w:r>
    </w:p>
    <w:p>
      <w:pPr>
        <w:numPr>
          <w:ilvl w:val="5"/>
          <w:numId w:val="104"/>
        </w:numPr>
      </w:pPr>
      <w:r>
        <w:t>（地方におけるアーカイブ連携の促進）</w:t>
      </w:r>
    </w:p>
    <w:p>
      <w:pPr>
        <w:numPr>
          <w:ilvl w:val="5"/>
          <w:numId w:val="104"/>
        </w:numPr>
      </w:pPr>
      <w:r>
        <w:t>②分野ごとの取組の促進</w:t>
      </w:r>
    </w:p>
    <w:p>
      <w:pPr>
        <w:numPr>
          <w:ilvl w:val="5"/>
          <w:numId w:val="104"/>
        </w:numPr>
      </w:pPr>
      <w:r>
        <w:t>（分野ごとのつなぎ役による取組と支援）</w:t>
      </w:r>
    </w:p>
    <w:p>
      <w:pPr>
        <w:numPr>
          <w:ilvl w:val="5"/>
          <w:numId w:val="104"/>
        </w:numPr>
      </w:pPr>
      <w:r>
        <w:t>（分野横断の取組）</w:t>
      </w:r>
    </w:p>
    <w:p>
      <w:pPr>
        <w:numPr>
          <w:ilvl w:val="5"/>
          <w:numId w:val="104"/>
        </w:numPr>
      </w:pPr>
      <w:r>
        <w:t>（書籍等分野）</w:t>
      </w:r>
    </w:p>
    <w:p>
      <w:pPr>
        <w:numPr>
          <w:ilvl w:val="5"/>
          <w:numId w:val="104"/>
        </w:numPr>
      </w:pPr>
      <w:r>
        <w:t>（文化財分野）</w:t>
      </w:r>
    </w:p>
    <w:p>
      <w:pPr>
        <w:numPr>
          <w:ilvl w:val="5"/>
          <w:numId w:val="104"/>
        </w:numPr>
      </w:pPr>
      <w:r>
        <w:t>（メディア芸術等分野）</w:t>
      </w:r>
    </w:p>
    <w:p>
      <w:pPr>
        <w:numPr>
          <w:ilvl w:val="5"/>
          <w:numId w:val="104"/>
        </w:numPr>
      </w:pPr>
      <w:r>
        <w:t>（放送コンテンツ分野）</w:t>
      </w:r>
    </w:p>
    <w:p>
      <w:pPr>
        <w:numPr>
          <w:ilvl w:val="5"/>
          <w:numId w:val="104"/>
        </w:numPr>
      </w:pPr>
      <w:r>
        <w:t>③アーカイブ利活用に向けた基盤整備</w:t>
      </w:r>
    </w:p>
    <w:p>
      <w:pPr>
        <w:numPr>
          <w:ilvl w:val="5"/>
          <w:numId w:val="104"/>
        </w:numPr>
      </w:pPr>
      <w:r>
        <w:t>（オープン化の促進）</w:t>
      </w:r>
    </w:p>
    <w:p>
      <w:pPr>
        <w:numPr>
          <w:ilvl w:val="5"/>
          <w:numId w:val="104"/>
        </w:numPr>
      </w:pPr>
      <w:r>
        <w:t>（アーカイブの構築と利活用の促進のための著作権制度の整備）</w:t>
      </w:r>
    </w:p>
    <w:p>
      <w:pPr>
        <w:numPr>
          <w:ilvl w:val="5"/>
          <w:numId w:val="104"/>
        </w:numPr>
      </w:pPr>
      <w:r>
        <w:t>（利活用の促進のための周辺環境の整備）</w:t>
      </w:r>
    </w:p>
    <w:p>
      <w:pPr>
        <w:numPr>
          <w:ilvl w:val="5"/>
          <w:numId w:val="104"/>
        </w:numPr>
      </w:pPr>
      <w:r>
        <w:t>（アーカイブ関連人材の育成）</w:t>
      </w:r>
    </w:p>
    <w:p>
      <w:pPr>
        <w:numPr>
          <w:ilvl w:val="0"/>
          <w:numId w:val="0"/>
        </w:numPr>
        <w:ind w:left="0"/>
        <w:sectPr w:rsidSect="00F019F0">
          <w:headerReference w:type="even" r:id="rId7"/>
          <w:headerReference w:type="default" r:id="rId8"/>
          <w:footerReference w:type="even" r:id="rId9"/>
          <w:footerReference w:type="default" r:id="rId10"/>
          <w:headerReference w:type="first" r:id="rId11"/>
          <w:footerReference w:type="first" r:id="rId12"/>
          <w:pgSz w:w="11906" w:h="16838" w:code="9"/>
          <w:pgMar w:top="1418" w:right="1701" w:bottom="1134" w:left="1701" w:header="851" w:footer="992" w:gutter="0"/>
          <w:cols w:space="104"/>
          <w:docGrid w:type="lines" w:linePitch="360"/>
        </w:sectPr>
      </w:pPr>
    </w:p>
    <w:p/>
    <w:sectPr w:rsidSect="00DC121D">
      <w:footerReference w:type="even" r:id="rId13"/>
      <w:footerReference w:type="default" r:id="rId14"/>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footer" Target="footer5.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www.kantei.go.jp/jp/singi/titeki2/170516/gijisidai.html" TargetMode="External" /><Relationship Id="rId6" Type="http://schemas.openxmlformats.org/officeDocument/2006/relationships/image" Target="media/image1.pn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4</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