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876D" w14:textId="3391330B" w:rsidR="00FD6743" w:rsidRPr="00816BD1" w:rsidRDefault="0056746C" w:rsidP="00816BD1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DAX25-17【文献】「デジタルトランスフォーメーション」【2016年9月ベイカレント・コンサエルティング】</w:t>
      </w:r>
    </w:p>
    <w:p w14:paraId="645FEFD5" w14:textId="137EEC77" w:rsidR="0056746C" w:rsidRPr="00816BD1" w:rsidRDefault="0056746C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破壊的イノベーションを勝ち抜くデジタル戦略・組織のつくり方</w:t>
      </w:r>
    </w:p>
    <w:p w14:paraId="07425F89" w14:textId="781934D7" w:rsidR="0056746C" w:rsidRPr="00816BD1" w:rsidRDefault="0056746C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はじめに</w:t>
      </w:r>
    </w:p>
    <w:p w14:paraId="7A0D23B9" w14:textId="2737CCE5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破壊的イノベーションの幕開け</w:t>
      </w:r>
    </w:p>
    <w:p w14:paraId="22BC38DF" w14:textId="59150CD2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デジタルディスラプター</w:t>
      </w:r>
    </w:p>
    <w:p w14:paraId="1799A870" w14:textId="25C43218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顧客のデジタル武装が進む</w:t>
      </w:r>
    </w:p>
    <w:p w14:paraId="72C29AE8" w14:textId="3DDAF28F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サービスを受ける側のほうが情報量を豊富に持つ</w:t>
      </w:r>
    </w:p>
    <w:p w14:paraId="13981DEF" w14:textId="05E82974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デジタル時代を勝ち抜く戦略が必要</w:t>
      </w:r>
    </w:p>
    <w:p w14:paraId="368AFED0" w14:textId="754322CD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「最新のITを活用し、 顧客経験に訴求したサービスを提供すること」</w:t>
      </w:r>
    </w:p>
    <w:p w14:paraId="2B9B1C0B" w14:textId="37D4A40A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デジタル化による企業変革を図れ</w:t>
      </w:r>
    </w:p>
    <w:p w14:paraId="73A5EA79" w14:textId="72B4CA66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自らが「創造的破壊者」になるデジタル組織を作り、 従来の常識を否定して新しいビジネスを創出することが必要</w:t>
      </w:r>
    </w:p>
    <w:p w14:paraId="1CC59E99" w14:textId="203F95EA" w:rsidR="0056746C" w:rsidRPr="00816BD1" w:rsidRDefault="0056746C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第1章デジタル技術が変える近い将来</w:t>
      </w:r>
    </w:p>
    <w:p w14:paraId="42670567" w14:textId="14BB7CA9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デジタル技術の急速な発展</w:t>
      </w:r>
    </w:p>
    <w:p w14:paraId="77AA0D66" w14:textId="5798CF05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コンピュータが自分で「概念」を獲得する機械学習ができるようになった</w:t>
      </w:r>
    </w:p>
    <w:p w14:paraId="1C4AD307" w14:textId="5C606D7C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産業構造を変革する力</w:t>
      </w:r>
    </w:p>
    <w:p w14:paraId="7A551C43" w14:textId="2597D784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オープンイノベーションの加速化</w:t>
      </w:r>
    </w:p>
    <w:p w14:paraId="4D33B1ED" w14:textId="0268AD1E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リアルな世界との融合</w:t>
      </w:r>
    </w:p>
    <w:p w14:paraId="04C6162B" w14:textId="2FF50280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カスタマーエクスペリエンスの重要性</w:t>
      </w:r>
    </w:p>
    <w:p w14:paraId="656DADF5" w14:textId="0894DBED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lastRenderedPageBreak/>
        <w:t>進化したのは技術だけではなく、 それを利用する顧客の考え方や行動も進化した</w:t>
      </w:r>
    </w:p>
    <w:p w14:paraId="51C5C825" w14:textId="202BACFF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顧客が何に「快適性」「面白さ」を感じるのか</w:t>
      </w:r>
    </w:p>
    <w:p w14:paraId="469888BB" w14:textId="0A963C22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顧客が「何に価値を感じるのか」「顧客の嗜好はどのように変化しているのか」</w:t>
      </w:r>
    </w:p>
    <w:p w14:paraId="408D9FD8" w14:textId="10B288A2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 xml:space="preserve">CXは様々な顧客接点を通じての顧客の実経験である。 UIはアプリという顧客接点の一つである。 </w:t>
      </w:r>
    </w:p>
    <w:p w14:paraId="2C305870" w14:textId="64C72B42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デザインとは、 顧客に対する一連のサービス</w:t>
      </w:r>
    </w:p>
    <w:p w14:paraId="47D36C7A" w14:textId="22BA2D1F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「デザイン思考」は、 CXに関するエキスパートであるデザイナーの主導でサービスを作り出そうという発想</w:t>
      </w:r>
    </w:p>
    <w:p w14:paraId="5B61CE0F" w14:textId="56BCFDF0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デジタル時代における主導権は、 サービスを提供する企業側から、 サービスを受ける顧客側に移りつつある</w:t>
      </w:r>
    </w:p>
    <w:p w14:paraId="2B66C8F0" w14:textId="67C9179C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・・・【まとめ中】</w:t>
      </w:r>
    </w:p>
    <w:p w14:paraId="289BAE17" w14:textId="7B5353DD" w:rsidR="0056746C" w:rsidRPr="00816BD1" w:rsidRDefault="0056746C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第2章デジタル時代に対応できない企業の末路</w:t>
      </w:r>
    </w:p>
    <w:p w14:paraId="46C541BE" w14:textId="4A8A965B" w:rsidR="0056746C" w:rsidRPr="00816BD1" w:rsidRDefault="0056746C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第3章なぜ、 デジタル時代への対応が遅れたのか</w:t>
      </w:r>
    </w:p>
    <w:p w14:paraId="41B6FECB" w14:textId="1BA2DBC7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顧客の進化に対する読み違え</w:t>
      </w:r>
    </w:p>
    <w:p w14:paraId="51D61CA3" w14:textId="371CBB12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カスタマーエクスペリエンスへの訴求不足</w:t>
      </w:r>
    </w:p>
    <w:p w14:paraId="644170BD" w14:textId="2CA54C90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ITに対する距離感</w:t>
      </w:r>
    </w:p>
    <w:p w14:paraId="5C76EFB3" w14:textId="18CB4D18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既存概念への固執</w:t>
      </w:r>
    </w:p>
    <w:p w14:paraId="4A594EC9" w14:textId="5B84BD23" w:rsidR="0056746C" w:rsidRPr="00816BD1" w:rsidRDefault="0056746C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第4章デジタルトランスフォーメーションの本質</w:t>
      </w:r>
    </w:p>
    <w:p w14:paraId="0E58BF89" w14:textId="2DEF3052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ビジネスモデルの再定義</w:t>
      </w:r>
    </w:p>
    <w:p w14:paraId="4C1D7E0C" w14:textId="29F332C6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顧客が中心</w:t>
      </w:r>
    </w:p>
    <w:p w14:paraId="71EFAB58" w14:textId="528A9813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顧客情報の収集と分析</w:t>
      </w:r>
    </w:p>
    <w:p w14:paraId="29F8F65B" w14:textId="2DF73F1C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データ活用基盤の発達</w:t>
      </w:r>
    </w:p>
    <w:p w14:paraId="013CD0BE" w14:textId="263F5168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エコシステムの加速化</w:t>
      </w:r>
    </w:p>
    <w:p w14:paraId="6622B83E" w14:textId="572C56D5" w:rsidR="0056746C" w:rsidRPr="00816BD1" w:rsidRDefault="0056746C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第5章デジタル戦略の構築と実行</w:t>
      </w:r>
    </w:p>
    <w:p w14:paraId="5B0C1832" w14:textId="4C6F3D3A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lastRenderedPageBreak/>
        <w:t>デジタル戦略方針の策定</w:t>
      </w:r>
    </w:p>
    <w:p w14:paraId="628CC48B" w14:textId="0007A78C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徹底したCX向上策</w:t>
      </w:r>
    </w:p>
    <w:p w14:paraId="40B3542A" w14:textId="27C9B295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リアルチャネルとの融合</w:t>
      </w:r>
    </w:p>
    <w:p w14:paraId="7FD4B4C0" w14:textId="5C25CDFB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デジタルマーケティング</w:t>
      </w:r>
    </w:p>
    <w:p w14:paraId="315BF425" w14:textId="5AD32F92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オープンイノベーション</w:t>
      </w:r>
    </w:p>
    <w:p w14:paraId="72D4D6DE" w14:textId="4BC9F290" w:rsidR="0056746C" w:rsidRPr="00816BD1" w:rsidRDefault="0056746C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第6章デジタル組織への転換</w:t>
      </w:r>
    </w:p>
    <w:p w14:paraId="1D6B6112" w14:textId="7A05C77B" w:rsidR="0056746C" w:rsidRPr="00816BD1" w:rsidRDefault="0056746C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①デジタル戦略組織</w:t>
      </w:r>
    </w:p>
    <w:p w14:paraId="4AC2B47E" w14:textId="67872ED8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デジタル専門組織の必要性</w:t>
      </w:r>
    </w:p>
    <w:p w14:paraId="481D1053" w14:textId="394CC643" w:rsidR="0056746C" w:rsidRPr="00816BD1" w:rsidRDefault="0056746C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CDO（Chief Digital Officer）の設置</w:t>
      </w:r>
    </w:p>
    <w:p w14:paraId="515ED733" w14:textId="4D333FAA" w:rsidR="0056746C" w:rsidRPr="00816BD1" w:rsidRDefault="0056746C" w:rsidP="00816BD1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図5CDOを置く企業が急増している</w:t>
      </w:r>
    </w:p>
    <w:p w14:paraId="421E4416" w14:textId="0136C8FE" w:rsidR="0056746C" w:rsidRPr="00816BD1" w:rsidRDefault="0056746C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組織形態の例</w:t>
      </w:r>
    </w:p>
    <w:p w14:paraId="2DC9751E" w14:textId="7A28A674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図6 デジタル組織の4形態</w:t>
      </w:r>
    </w:p>
    <w:p w14:paraId="0486BBD9" w14:textId="3CAAC7FE" w:rsidR="00AD2051" w:rsidRPr="00816BD1" w:rsidRDefault="00AD2051" w:rsidP="00816BD1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全社横断組織</w:t>
      </w:r>
    </w:p>
    <w:p w14:paraId="7EC72347" w14:textId="1EA037AB" w:rsidR="00AD2051" w:rsidRPr="00816BD1" w:rsidRDefault="00AD2051" w:rsidP="00816BD1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B.事業特化型組織</w:t>
      </w:r>
    </w:p>
    <w:p w14:paraId="03845CEA" w14:textId="2E6D391F" w:rsidR="00AD2051" w:rsidRPr="00816BD1" w:rsidRDefault="00AD2051" w:rsidP="00816BD1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C.デジタルイノベーション型組織</w:t>
      </w:r>
    </w:p>
    <w:p w14:paraId="2F352351" w14:textId="11DAFFC8" w:rsidR="00AD2051" w:rsidRPr="00816BD1" w:rsidRDefault="00AD2051" w:rsidP="00816BD1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D.機能特化型組織</w:t>
      </w:r>
    </w:p>
    <w:p w14:paraId="199362B1" w14:textId="4E11BE08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全社横断組織</w:t>
      </w:r>
    </w:p>
    <w:p w14:paraId="19B41C30" w14:textId="7437660F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B.事業特化型組織</w:t>
      </w:r>
    </w:p>
    <w:p w14:paraId="0C534AE2" w14:textId="460241C8" w:rsidR="00AD2051" w:rsidRPr="00816BD1" w:rsidRDefault="00AD2051" w:rsidP="00816BD1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図７ 事業特化型の組織の例</w:t>
      </w:r>
    </w:p>
    <w:p w14:paraId="5FA2744A" w14:textId="150A5398" w:rsidR="00AD2051" w:rsidRPr="00816BD1" w:rsidRDefault="00AD2051" w:rsidP="00816BD1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図8 IT主導型の組織構造</w:t>
      </w:r>
    </w:p>
    <w:p w14:paraId="4835AE22" w14:textId="3FC7957B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C.デジタルイノベーション型組織</w:t>
      </w:r>
    </w:p>
    <w:p w14:paraId="66BE75BC" w14:textId="250CC144" w:rsidR="00AD2051" w:rsidRPr="00816BD1" w:rsidRDefault="00AD2051" w:rsidP="00816BD1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図9 事業のライフサイクルとデジタルイノベーションの役割</w:t>
      </w:r>
    </w:p>
    <w:p w14:paraId="755F0C44" w14:textId="2952A7F6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D.機能特化型組織</w:t>
      </w:r>
    </w:p>
    <w:p w14:paraId="63024F3F" w14:textId="28292327" w:rsidR="00AD2051" w:rsidRPr="00816BD1" w:rsidRDefault="00AD2051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lastRenderedPageBreak/>
        <w:t>②既存組織との連携</w:t>
      </w:r>
    </w:p>
    <w:p w14:paraId="4D364B56" w14:textId="6EA5ACBD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経営企画部門との連携</w:t>
      </w:r>
    </w:p>
    <w:p w14:paraId="64E0C857" w14:textId="310524E8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事業部門との連携</w:t>
      </w:r>
    </w:p>
    <w:p w14:paraId="2D65AC47" w14:textId="75DB06BD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IT部門との連携</w:t>
      </w:r>
    </w:p>
    <w:p w14:paraId="6E9E7E63" w14:textId="743FFCD1" w:rsidR="00AD2051" w:rsidRPr="00816BD1" w:rsidRDefault="00AD2051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③イノベーションリーダーの育成</w:t>
      </w:r>
    </w:p>
    <w:p w14:paraId="55D2C4E0" w14:textId="1B56AC60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CDOに求められる役割</w:t>
      </w:r>
    </w:p>
    <w:p w14:paraId="671F99B1" w14:textId="46C570D3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新しいデジタル技術に対する理解</w:t>
      </w:r>
    </w:p>
    <w:p w14:paraId="1F861B3B" w14:textId="0F622729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デジタル技術活用事例の研究</w:t>
      </w:r>
    </w:p>
    <w:p w14:paraId="4385022C" w14:textId="073BB738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会社全体の事業を見据え、 リアルとデジタルで発信すべきメッセージを統一</w:t>
      </w:r>
    </w:p>
    <w:p w14:paraId="18F08137" w14:textId="7127A973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各事業部門のビジネスに対する具体的な展開方法の検討（事業部門との共同研究）</w:t>
      </w:r>
    </w:p>
    <w:p w14:paraId="199C8A0E" w14:textId="46C58E47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CDO配下のイノベーションリーダー</w:t>
      </w:r>
    </w:p>
    <w:p w14:paraId="23F00459" w14:textId="3B942F60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戦略的な育成</w:t>
      </w:r>
    </w:p>
    <w:p w14:paraId="3EEA4466" w14:textId="39A7C911" w:rsidR="00AD2051" w:rsidRPr="00816BD1" w:rsidRDefault="00AD2051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④デジタル要員の育成</w:t>
      </w:r>
    </w:p>
    <w:p w14:paraId="74D9738E" w14:textId="1FE2AE8D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ビジネスとITをつなげる力</w:t>
      </w:r>
    </w:p>
    <w:p w14:paraId="564F29CB" w14:textId="337CC30B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コアメンバー</w:t>
      </w:r>
    </w:p>
    <w:p w14:paraId="54534D3E" w14:textId="66D4C6E4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ビジネスアーキテクト</w:t>
      </w:r>
    </w:p>
    <w:p w14:paraId="0BDF03D4" w14:textId="4A9B0D19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オペレーションデザイナー</w:t>
      </w:r>
    </w:p>
    <w:p w14:paraId="39524F60" w14:textId="33AC0AE4" w:rsidR="00AD2051" w:rsidRPr="00816BD1" w:rsidRDefault="00AD2051" w:rsidP="00816BD1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スーパーエンジニア</w:t>
      </w:r>
    </w:p>
    <w:p w14:paraId="6A2A8E50" w14:textId="5F8E39AB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重要となるマインドセット</w:t>
      </w:r>
    </w:p>
    <w:p w14:paraId="6E47430A" w14:textId="42A4E4DF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戦略的育成計画</w:t>
      </w:r>
    </w:p>
    <w:p w14:paraId="4AED0C7D" w14:textId="6E99C213" w:rsidR="00AD2051" w:rsidRPr="00816BD1" w:rsidRDefault="00AD2051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lastRenderedPageBreak/>
        <w:t>⑤ダイバーシティを受け入れる組織文化の醸成</w:t>
      </w:r>
    </w:p>
    <w:p w14:paraId="1BB75668" w14:textId="70D1678E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多様性の必然性</w:t>
      </w:r>
    </w:p>
    <w:p w14:paraId="2C7EB87C" w14:textId="62EE5F09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発散と収束のプロセス</w:t>
      </w:r>
    </w:p>
    <w:p w14:paraId="6DC0C2D8" w14:textId="6E3C8645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非連続性への取組み</w:t>
      </w:r>
    </w:p>
    <w:p w14:paraId="22F7EC9F" w14:textId="75774AC3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求心力を働かせる</w:t>
      </w:r>
    </w:p>
    <w:p w14:paraId="7C7BFF04" w14:textId="7C961458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日々の行動の変化</w:t>
      </w:r>
    </w:p>
    <w:p w14:paraId="249778BE" w14:textId="311E7AC1" w:rsidR="00AD2051" w:rsidRPr="00816BD1" w:rsidRDefault="00AD2051" w:rsidP="00816BD1">
      <w:pPr>
        <w:pStyle w:val="MMTopic2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経営の役割</w:t>
      </w:r>
    </w:p>
    <w:p w14:paraId="7957FCD3" w14:textId="5928C308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デジタル化の推進</w:t>
      </w:r>
    </w:p>
    <w:p w14:paraId="0BCEE9F8" w14:textId="40BEB5C4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現場浸透への徹底</w:t>
      </w:r>
    </w:p>
    <w:p w14:paraId="6F4FE728" w14:textId="7F1EC236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社外とのコミュニケーション強化</w:t>
      </w:r>
    </w:p>
    <w:p w14:paraId="5A0D8275" w14:textId="267508EA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チャレンジする風土の構築</w:t>
      </w:r>
    </w:p>
    <w:p w14:paraId="72E3BEEA" w14:textId="351C4756" w:rsidR="00AD2051" w:rsidRPr="00816BD1" w:rsidRDefault="00AD2051" w:rsidP="00816BD1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次世代経営人材の育成</w:t>
      </w:r>
    </w:p>
    <w:p w14:paraId="18E98BE8" w14:textId="3759FEC9" w:rsidR="00AD2051" w:rsidRPr="00816BD1" w:rsidRDefault="00AD2051" w:rsidP="00816BD1">
      <w:pPr>
        <w:pStyle w:val="MMTopic1"/>
        <w:spacing w:line="0" w:lineRule="atLeast"/>
        <w:rPr>
          <w:rFonts w:ascii="Meiryo UI" w:eastAsia="Meiryo UI" w:hAnsi="Meiryo UI"/>
        </w:rPr>
      </w:pPr>
      <w:r w:rsidRPr="00816BD1">
        <w:rPr>
          <w:rFonts w:ascii="Meiryo UI" w:eastAsia="Meiryo UI" w:hAnsi="Meiryo UI" w:hint="eastAsia"/>
        </w:rPr>
        <w:t>おわりに</w:t>
      </w:r>
    </w:p>
    <w:p w14:paraId="1290465B" w14:textId="77777777" w:rsidR="00AD2051" w:rsidRPr="00816BD1" w:rsidRDefault="00AD2051" w:rsidP="00816BD1">
      <w:pPr>
        <w:spacing w:line="0" w:lineRule="atLeast"/>
        <w:rPr>
          <w:rFonts w:ascii="Meiryo UI" w:eastAsia="Meiryo UI" w:hAnsi="Meiryo UI"/>
        </w:rPr>
      </w:pPr>
    </w:p>
    <w:sectPr w:rsidR="00AD2051" w:rsidRPr="00816BD1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4E00B" w14:textId="77777777" w:rsidR="009B2C9D" w:rsidRDefault="009B2C9D" w:rsidP="009B2C9D">
      <w:pPr>
        <w:spacing w:before="0" w:after="0" w:line="240" w:lineRule="auto"/>
      </w:pPr>
      <w:r>
        <w:separator/>
      </w:r>
    </w:p>
  </w:endnote>
  <w:endnote w:type="continuationSeparator" w:id="0">
    <w:p w14:paraId="727DA72A" w14:textId="77777777" w:rsidR="009B2C9D" w:rsidRDefault="009B2C9D" w:rsidP="009B2C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1713949"/>
      <w:docPartObj>
        <w:docPartGallery w:val="Page Numbers (Bottom of Page)"/>
        <w:docPartUnique/>
      </w:docPartObj>
    </w:sdtPr>
    <w:sdtContent>
      <w:p w14:paraId="29D2AD58" w14:textId="40655B8D" w:rsidR="009B2C9D" w:rsidRDefault="009B2C9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23F8115" w14:textId="77777777" w:rsidR="009B2C9D" w:rsidRDefault="009B2C9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4B751" w14:textId="77777777" w:rsidR="009B2C9D" w:rsidRDefault="009B2C9D" w:rsidP="009B2C9D">
      <w:pPr>
        <w:spacing w:before="0" w:after="0" w:line="240" w:lineRule="auto"/>
      </w:pPr>
      <w:r>
        <w:separator/>
      </w:r>
    </w:p>
  </w:footnote>
  <w:footnote w:type="continuationSeparator" w:id="0">
    <w:p w14:paraId="3F81B76B" w14:textId="77777777" w:rsidR="009B2C9D" w:rsidRDefault="009B2C9D" w:rsidP="009B2C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513D2"/>
    <w:multiLevelType w:val="multilevel"/>
    <w:tmpl w:val="827A263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2E6DDE"/>
    <w:multiLevelType w:val="singleLevel"/>
    <w:tmpl w:val="70FC133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BF"/>
    <w:rsid w:val="0056746C"/>
    <w:rsid w:val="00816BD1"/>
    <w:rsid w:val="009B2C9D"/>
    <w:rsid w:val="00AD2051"/>
    <w:rsid w:val="00C7121A"/>
    <w:rsid w:val="00D759BF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6BA0DD"/>
  <w15:chartTrackingRefBased/>
  <w15:docId w15:val="{2BFDB52F-F428-47CF-BDC8-778F987F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BD1"/>
  </w:style>
  <w:style w:type="paragraph" w:styleId="1">
    <w:name w:val="heading 1"/>
    <w:basedOn w:val="a"/>
    <w:next w:val="a"/>
    <w:link w:val="10"/>
    <w:uiPriority w:val="9"/>
    <w:qFormat/>
    <w:rsid w:val="00816B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16B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16B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16B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16B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B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B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B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B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6B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816B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56746C"/>
  </w:style>
  <w:style w:type="character" w:customStyle="1" w:styleId="MMTitle0">
    <w:name w:val="MM Title (文字)"/>
    <w:basedOn w:val="a4"/>
    <w:link w:val="MMTitle"/>
    <w:rsid w:val="0056746C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16B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56746C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56746C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816BD1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56746C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56746C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16BD1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56746C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56746C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816BD1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56746C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56746C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816BD1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56746C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56746C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16BD1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16BD1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16BD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16BD1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16BD1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816B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816BD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16BD1"/>
    <w:rPr>
      <w:b/>
      <w:bCs/>
    </w:rPr>
  </w:style>
  <w:style w:type="character" w:styleId="a9">
    <w:name w:val="Emphasis"/>
    <w:uiPriority w:val="20"/>
    <w:qFormat/>
    <w:rsid w:val="00816BD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16BD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16BD1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816BD1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16B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816BD1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16BD1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816BD1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816BD1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816BD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816BD1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816BD1"/>
    <w:pPr>
      <w:outlineLvl w:val="9"/>
    </w:pPr>
  </w:style>
  <w:style w:type="paragraph" w:styleId="af1">
    <w:name w:val="header"/>
    <w:basedOn w:val="a"/>
    <w:link w:val="af2"/>
    <w:uiPriority w:val="99"/>
    <w:unhideWhenUsed/>
    <w:rsid w:val="009B2C9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9B2C9D"/>
  </w:style>
  <w:style w:type="paragraph" w:styleId="af3">
    <w:name w:val="footer"/>
    <w:basedOn w:val="a"/>
    <w:link w:val="af4"/>
    <w:uiPriority w:val="99"/>
    <w:unhideWhenUsed/>
    <w:rsid w:val="009B2C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9B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24695-FF86-4FC1-B89F-49F23ADC14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349C17-795A-41B1-BBE8-829B1CB6D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9E7F3-AD0C-4808-9B9D-285B2DD32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4</cp:revision>
  <dcterms:created xsi:type="dcterms:W3CDTF">2020-07-30T04:35:00Z</dcterms:created>
  <dcterms:modified xsi:type="dcterms:W3CDTF">2020-07-30T04:38:00Z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