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DAX40-06-2 政府情報システムでの標準的な構築プロセス</w:t>
      </w: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「共通フレーム2013」に準拠したした政府標準ガイドラインの活用</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システム開発及び人材育成・確保に関して政府の新しい方法論</w:t>
      </w:r>
    </w:p>
    <w:p>
      <w:pPr>
        <w:numPr>
          <w:ilvl w:val="2"/>
          <w:numId w:val="104"/>
        </w:numPr>
      </w:pPr>
      <w:r>
        <w:t>政府情報システムの整備及び管理 に関する標準ガイドライン</w:t>
      </w:r>
    </w:p>
    <w:p>
      <w:pPr>
        <w:numPr>
          <w:ilvl w:val="2"/>
          <w:numId w:val="104"/>
        </w:numPr>
      </w:pPr>
      <w:r>
        <w:t xml:space="preserve"> iコンピテンシ・ディクショナリ</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標準ガイドラインの概要</w:t>
      </w:r>
    </w:p>
    <w:p>
      <w:pPr>
        <w:numPr>
          <w:ilvl w:val="2"/>
          <w:numId w:val="104"/>
        </w:numPr>
      </w:pPr>
      <w:r>
        <w:drawing>
          <wp:inline>
            <wp:extent cx="127000" cy="127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概要</w:t>
      </w:r>
    </w:p>
    <w:p>
      <w:pPr>
        <w:numPr>
          <w:ilvl w:val="3"/>
          <w:numId w:val="104"/>
        </w:numPr>
      </w:pPr>
      <w:r>
        <w:t>政府情報システムの標準的な整備及び管理について、 その手続・手順に関する基本的な方針及び事項 並びに政府内の各組織の役割等を定める体系的な政府共通のルールとして、 本編及び実務手引きが策定された。</w:t>
      </w:r>
    </w:p>
    <w:p>
      <w:pPr>
        <w:numPr>
          <w:ilvl w:val="3"/>
          <w:numId w:val="104"/>
        </w:numPr>
      </w:pPr>
      <w:r>
        <w:t>【×】【詳細項目】サービスの基本計画から実施までの流れ</w:t>
      </w:r>
    </w:p>
    <w:p>
      <w:pPr>
        <w:numPr>
          <w:ilvl w:val="4"/>
          <w:numId w:val="104"/>
        </w:numPr>
      </w:pPr>
      <w:r>
        <w:t>業務の見直し</w:t>
      </w:r>
    </w:p>
    <w:p>
      <w:pPr>
        <w:numPr>
          <w:ilvl w:val="5"/>
          <w:numId w:val="104"/>
        </w:numPr>
      </w:pPr>
      <w:r>
        <w:t>プロジェクト計画書等の確認</w:t>
      </w:r>
    </w:p>
    <w:p>
      <w:pPr>
        <w:numPr>
          <w:ilvl w:val="5"/>
          <w:numId w:val="104"/>
        </w:numPr>
      </w:pPr>
      <w:r>
        <w:t>分析等</w:t>
      </w:r>
    </w:p>
    <w:p>
      <w:pPr>
        <w:numPr>
          <w:ilvl w:val="5"/>
          <w:numId w:val="104"/>
        </w:numPr>
      </w:pPr>
      <w:r>
        <w:t>１） 業務分析</w:t>
      </w:r>
    </w:p>
    <w:p>
      <w:pPr>
        <w:numPr>
          <w:ilvl w:val="5"/>
          <w:numId w:val="104"/>
        </w:numPr>
      </w:pPr>
      <w:r>
        <w:t>2) 関係者分析</w:t>
      </w:r>
    </w:p>
    <w:p>
      <w:pPr>
        <w:numPr>
          <w:ilvl w:val="5"/>
          <w:numId w:val="104"/>
        </w:numPr>
      </w:pPr>
      <w:r>
        <w:t>3) 実績分析</w:t>
      </w:r>
    </w:p>
    <w:p>
      <w:pPr>
        <w:numPr>
          <w:ilvl w:val="5"/>
          <w:numId w:val="104"/>
        </w:numPr>
      </w:pPr>
      <w:r>
        <w:t>4) 環境分析</w:t>
      </w:r>
    </w:p>
    <w:p>
      <w:pPr>
        <w:numPr>
          <w:ilvl w:val="5"/>
          <w:numId w:val="104"/>
        </w:numPr>
      </w:pPr>
      <w:r>
        <w:t>5) 関連調査</w:t>
      </w:r>
    </w:p>
    <w:p>
      <w:pPr>
        <w:numPr>
          <w:ilvl w:val="5"/>
          <w:numId w:val="104"/>
        </w:numPr>
      </w:pPr>
      <w:r>
        <w:t>業務の見直し内容の検討</w:t>
      </w:r>
    </w:p>
    <w:p>
      <w:pPr>
        <w:numPr>
          <w:ilvl w:val="5"/>
          <w:numId w:val="104"/>
        </w:numPr>
      </w:pPr>
      <w:r>
        <w:t>１） 主要課題の整理</w:t>
      </w:r>
    </w:p>
    <w:p>
      <w:pPr>
        <w:numPr>
          <w:ilvl w:val="5"/>
          <w:numId w:val="104"/>
        </w:numPr>
      </w:pPr>
      <w:r>
        <w:t>2) 具体的な業務の見直し内容</w:t>
      </w:r>
    </w:p>
    <w:p>
      <w:pPr>
        <w:numPr>
          <w:ilvl w:val="5"/>
          <w:numId w:val="104"/>
        </w:numPr>
      </w:pPr>
      <w:r>
        <w:t>3) 期待される効果</w:t>
      </w:r>
    </w:p>
    <w:p>
      <w:pPr>
        <w:numPr>
          <w:ilvl w:val="5"/>
          <w:numId w:val="104"/>
        </w:numPr>
      </w:pPr>
      <w:r>
        <w:t>業務要件の定義</w:t>
      </w:r>
    </w:p>
    <w:p>
      <w:pPr>
        <w:numPr>
          <w:ilvl w:val="5"/>
          <w:numId w:val="104"/>
        </w:numPr>
      </w:pPr>
      <w:r>
        <w:t>業務実施手順</w:t>
      </w:r>
    </w:p>
    <w:p>
      <w:pPr>
        <w:numPr>
          <w:ilvl w:val="5"/>
          <w:numId w:val="104"/>
        </w:numPr>
      </w:pPr>
      <w:r>
        <w:t>管理すべき指標</w:t>
      </w:r>
    </w:p>
    <w:p>
      <w:pPr>
        <w:numPr>
          <w:ilvl w:val="5"/>
          <w:numId w:val="104"/>
        </w:numPr>
      </w:pPr>
      <w:r>
        <w:t>情報システム化の範囲</w:t>
      </w:r>
    </w:p>
    <w:p>
      <w:pPr>
        <w:numPr>
          <w:ilvl w:val="5"/>
          <w:numId w:val="104"/>
        </w:numPr>
      </w:pPr>
      <w:r>
        <w:t>情報セキュリティ</w:t>
      </w:r>
    </w:p>
    <w:p>
      <w:pPr>
        <w:numPr>
          <w:ilvl w:val="4"/>
          <w:numId w:val="104"/>
        </w:numPr>
      </w:pPr>
      <w:r>
        <w:t>要件定義作業</w:t>
      </w:r>
    </w:p>
    <w:p>
      <w:pPr>
        <w:numPr>
          <w:ilvl w:val="5"/>
          <w:numId w:val="104"/>
        </w:numPr>
      </w:pPr>
      <w:r>
        <w:t>要件定義の準備</w:t>
      </w:r>
    </w:p>
    <w:p>
      <w:pPr>
        <w:numPr>
          <w:ilvl w:val="5"/>
          <w:numId w:val="104"/>
        </w:numPr>
      </w:pPr>
      <w:r>
        <w:t>１） 要件定義の対象範囲等の特定</w:t>
      </w:r>
    </w:p>
    <w:p>
      <w:pPr>
        <w:numPr>
          <w:ilvl w:val="5"/>
          <w:numId w:val="104"/>
        </w:numPr>
      </w:pPr>
      <w:r>
        <w:t>２） ＲＦＩの実施</w:t>
      </w:r>
    </w:p>
    <w:p>
      <w:pPr>
        <w:numPr>
          <w:ilvl w:val="5"/>
          <w:numId w:val="104"/>
        </w:numPr>
      </w:pPr>
      <w:r>
        <w:t>○ 業務要件を実現するために必要な情報システムの機能（以下「機能要件」という。） の案の実現性、</w:t>
      </w:r>
    </w:p>
    <w:p>
      <w:pPr>
        <w:numPr>
          <w:ilvl w:val="5"/>
          <w:numId w:val="104"/>
        </w:numPr>
      </w:pPr>
      <w:r>
        <w:t>○ 実現方法、</w:t>
      </w:r>
    </w:p>
    <w:p>
      <w:pPr>
        <w:numPr>
          <w:ilvl w:val="5"/>
          <w:numId w:val="104"/>
        </w:numPr>
      </w:pPr>
      <w:r>
        <w:t>○ 情報システムが備えるべき機能要件以外の情報システム要件（以下「非機能要件」という。）、</w:t>
      </w:r>
    </w:p>
    <w:p>
      <w:pPr>
        <w:numPr>
          <w:ilvl w:val="5"/>
          <w:numId w:val="104"/>
        </w:numPr>
      </w:pPr>
      <w:r>
        <w:t>○ それらの要件を実現するために必要な経費の見込み、</w:t>
      </w:r>
    </w:p>
    <w:p>
      <w:pPr>
        <w:numPr>
          <w:ilvl w:val="5"/>
          <w:numId w:val="104"/>
        </w:numPr>
      </w:pPr>
      <w:r>
        <w:t>○ 明らかにすべきと考える要件定義事項又は開発方式 （スクラッチ開発、 ソフトウェア製品の活用、 政府共通プラットフォーム を含むクラウドコンピューティングサービスの活用等）、</w:t>
      </w:r>
    </w:p>
    <w:p>
      <w:pPr>
        <w:numPr>
          <w:ilvl w:val="5"/>
          <w:numId w:val="104"/>
        </w:numPr>
      </w:pPr>
      <w:r>
        <w:t>○ 開発手法（ウォータフォール型、 反復型等）等、</w:t>
      </w:r>
    </w:p>
    <w:p>
      <w:pPr>
        <w:numPr>
          <w:ilvl w:val="5"/>
          <w:numId w:val="104"/>
        </w:numPr>
      </w:pPr>
      <w:r>
        <w:t>○ 事業者に具体的に求めたい内容</w:t>
      </w:r>
    </w:p>
    <w:p>
      <w:pPr>
        <w:numPr>
          <w:ilvl w:val="5"/>
          <w:numId w:val="104"/>
        </w:numPr>
      </w:pPr>
      <w:r>
        <w:t>３） 事業者へのヒアリング等の実施</w:t>
      </w:r>
    </w:p>
    <w:p>
      <w:pPr>
        <w:numPr>
          <w:ilvl w:val="5"/>
          <w:numId w:val="104"/>
        </w:numPr>
      </w:pPr>
      <w:r>
        <w:t>４） 必要な資料の作成</w:t>
      </w:r>
    </w:p>
    <w:p>
      <w:pPr>
        <w:numPr>
          <w:ilvl w:val="5"/>
          <w:numId w:val="104"/>
        </w:numPr>
      </w:pPr>
      <w:r>
        <w:t>要件定義</w:t>
      </w:r>
    </w:p>
    <w:p>
      <w:pPr>
        <w:numPr>
          <w:ilvl w:val="5"/>
          <w:numId w:val="104"/>
        </w:numPr>
      </w:pPr>
      <w:r>
        <w:t>要件定義書の記載内容</w:t>
      </w:r>
    </w:p>
    <w:p>
      <w:pPr>
        <w:numPr>
          <w:ilvl w:val="5"/>
          <w:numId w:val="104"/>
        </w:numPr>
      </w:pPr>
      <w:r>
        <w:t>業務要件</w:t>
      </w:r>
    </w:p>
    <w:p>
      <w:pPr>
        <w:numPr>
          <w:ilvl w:val="5"/>
          <w:numId w:val="104"/>
        </w:numPr>
      </w:pPr>
      <w:r>
        <w:t>機能要件</w:t>
      </w:r>
    </w:p>
    <w:p>
      <w:pPr>
        <w:numPr>
          <w:ilvl w:val="5"/>
          <w:numId w:val="104"/>
        </w:numPr>
      </w:pPr>
      <w:r>
        <w:t>機能、 画面、 帳票、 情報・データ、 外部インタフェース</w:t>
      </w:r>
    </w:p>
    <w:p>
      <w:pPr>
        <w:numPr>
          <w:ilvl w:val="5"/>
          <w:numId w:val="104"/>
        </w:numPr>
      </w:pPr>
      <w:r>
        <w:t>非機能要件</w:t>
      </w:r>
    </w:p>
    <w:p>
      <w:pPr>
        <w:numPr>
          <w:ilvl w:val="5"/>
          <w:numId w:val="104"/>
        </w:numPr>
      </w:pPr>
      <w:r>
        <w:t>ユーザビリティ・アクセシビリティ、 システム方式、 規模、 性能、 信頼性、 拡張性、 上位互換、 中立性、 継続性、 情報セキュリティ、 稼働環境、 テスト、 以降、 引き継ぎ、 教育、 運用、 保守等</w:t>
      </w:r>
    </w:p>
    <w:p>
      <w:pPr>
        <w:numPr>
          <w:ilvl w:val="5"/>
          <w:numId w:val="104"/>
        </w:numPr>
      </w:pPr>
      <w:r>
        <w:t>要件定義書の調整・作成</w:t>
      </w:r>
    </w:p>
    <w:p>
      <w:pPr>
        <w:numPr>
          <w:ilvl w:val="5"/>
          <w:numId w:val="104"/>
        </w:numPr>
      </w:pPr>
      <w:r>
        <w:t>プロジェクト計画書への反映</w:t>
      </w:r>
    </w:p>
    <w:p>
      <w:pPr>
        <w:numPr>
          <w:ilvl w:val="4"/>
          <w:numId w:val="104"/>
        </w:numPr>
      </w:pPr>
      <w:r>
        <w:t>調達の計画</w:t>
      </w:r>
    </w:p>
    <w:p>
      <w:pPr>
        <w:numPr>
          <w:ilvl w:val="5"/>
          <w:numId w:val="104"/>
        </w:numPr>
      </w:pPr>
      <w:r>
        <w:t>履行可能性、 ライフサイクルコスト、 技術的妥当性等を考慮の上、 競争性が確保されコストが低減されるよう 合理的な調達単位を検討する</w:t>
      </w:r>
    </w:p>
    <w:p>
      <w:pPr>
        <w:numPr>
          <w:ilvl w:val="5"/>
          <w:numId w:val="104"/>
        </w:numPr>
      </w:pPr>
      <w:r>
        <w:t>基本単位</w:t>
      </w:r>
    </w:p>
    <w:p>
      <w:pPr>
        <w:numPr>
          <w:ilvl w:val="5"/>
          <w:numId w:val="104"/>
        </w:numPr>
      </w:pPr>
      <w:r>
        <w:t>①調査研究又は要件定義作成支援</w:t>
      </w:r>
    </w:p>
    <w:p>
      <w:pPr>
        <w:numPr>
          <w:ilvl w:val="5"/>
          <w:numId w:val="104"/>
        </w:numPr>
      </w:pPr>
      <w:r>
        <w:t>② プロジェクト管理支援</w:t>
      </w:r>
    </w:p>
    <w:p>
      <w:pPr>
        <w:numPr>
          <w:ilvl w:val="5"/>
          <w:numId w:val="104"/>
        </w:numPr>
      </w:pPr>
      <w:r>
        <w:t>③ 設計・開発</w:t>
      </w:r>
    </w:p>
    <w:p>
      <w:pPr>
        <w:numPr>
          <w:ilvl w:val="5"/>
          <w:numId w:val="104"/>
        </w:numPr>
      </w:pPr>
      <w:r>
        <w:t>（設計・開発の内容が細分化できる場合であっても、</w:t>
      </w:r>
    </w:p>
    <w:p>
      <w:pPr>
        <w:numPr>
          <w:ilvl w:val="5"/>
          <w:numId w:val="104"/>
        </w:numPr>
      </w:pPr>
      <w:r>
        <w:t>必ずしも調達単位を分割する必要はない。）</w:t>
      </w:r>
    </w:p>
    <w:p>
      <w:pPr>
        <w:numPr>
          <w:ilvl w:val="5"/>
          <w:numId w:val="104"/>
        </w:numPr>
      </w:pPr>
      <w:r>
        <w:t>④ ハードウェアの賃貸借又は買取り</w:t>
      </w:r>
    </w:p>
    <w:p>
      <w:pPr>
        <w:numPr>
          <w:ilvl w:val="5"/>
          <w:numId w:val="104"/>
        </w:numPr>
      </w:pPr>
      <w:r>
        <w:t>⑤ ソフトウェア製品の賃貸借又は買取り</w:t>
      </w:r>
    </w:p>
    <w:p>
      <w:pPr>
        <w:numPr>
          <w:ilvl w:val="5"/>
          <w:numId w:val="104"/>
        </w:numPr>
      </w:pPr>
      <w:r>
        <w:t>⑥ 回線</w:t>
      </w:r>
    </w:p>
    <w:p>
      <w:pPr>
        <w:numPr>
          <w:ilvl w:val="5"/>
          <w:numId w:val="104"/>
        </w:numPr>
      </w:pPr>
      <w:r>
        <w:t>⑦ アプリケーションプログラムの保守</w:t>
      </w:r>
    </w:p>
    <w:p>
      <w:pPr>
        <w:numPr>
          <w:ilvl w:val="5"/>
          <w:numId w:val="104"/>
        </w:numPr>
      </w:pPr>
      <w:r>
        <w:t>⑧ ハードウェアの保守</w:t>
      </w:r>
    </w:p>
    <w:p>
      <w:pPr>
        <w:numPr>
          <w:ilvl w:val="5"/>
          <w:numId w:val="104"/>
        </w:numPr>
      </w:pPr>
      <w:r>
        <w:t>⑨ ソフトウェア製品の保守</w:t>
      </w:r>
    </w:p>
    <w:p>
      <w:pPr>
        <w:numPr>
          <w:ilvl w:val="5"/>
          <w:numId w:val="104"/>
        </w:numPr>
      </w:pPr>
      <w:r>
        <w:t>⑩ 運用</w:t>
      </w:r>
    </w:p>
    <w:p>
      <w:pPr>
        <w:numPr>
          <w:ilvl w:val="5"/>
          <w:numId w:val="104"/>
        </w:numPr>
      </w:pPr>
      <w:r>
        <w:t>⑪ 運用サポート業務</w:t>
      </w:r>
    </w:p>
    <w:p>
      <w:pPr>
        <w:numPr>
          <w:ilvl w:val="5"/>
          <w:numId w:val="104"/>
        </w:numPr>
      </w:pPr>
      <w:r>
        <w:t>⑫ 業務運用支援</w:t>
      </w:r>
    </w:p>
    <w:p>
      <w:pPr>
        <w:numPr>
          <w:ilvl w:val="5"/>
          <w:numId w:val="104"/>
        </w:numPr>
      </w:pPr>
      <w:r>
        <w:t>⑬ 施設の賃貸借</w:t>
      </w:r>
    </w:p>
    <w:p>
      <w:pPr>
        <w:numPr>
          <w:ilvl w:val="5"/>
          <w:numId w:val="104"/>
        </w:numPr>
      </w:pPr>
      <w:r>
        <w:t>⑭ 施設の整備等</w:t>
      </w:r>
    </w:p>
    <w:p>
      <w:pPr>
        <w:numPr>
          <w:ilvl w:val="5"/>
          <w:numId w:val="104"/>
        </w:numPr>
      </w:pPr>
      <w:r>
        <w:t>⑮ システム監査（情報セキュリティ監査を含む。）</w:t>
      </w:r>
    </w:p>
    <w:p>
      <w:pPr>
        <w:numPr>
          <w:ilvl w:val="5"/>
          <w:numId w:val="104"/>
        </w:numPr>
      </w:pPr>
      <w:r>
        <w:t>調達仕様書の記載内容</w:t>
      </w:r>
    </w:p>
    <w:p>
      <w:pPr>
        <w:numPr>
          <w:ilvl w:val="5"/>
          <w:numId w:val="104"/>
        </w:numPr>
      </w:pPr>
      <w:r>
        <w:t>ア 調達案件の概要に関する事項</w:t>
      </w:r>
    </w:p>
    <w:p>
      <w:pPr>
        <w:numPr>
          <w:ilvl w:val="5"/>
          <w:numId w:val="104"/>
        </w:numPr>
      </w:pPr>
      <w:r>
        <w:t>調達の背景</w:t>
      </w:r>
    </w:p>
    <w:p>
      <w:pPr>
        <w:numPr>
          <w:ilvl w:val="5"/>
          <w:numId w:val="104"/>
        </w:numPr>
      </w:pPr>
      <w:r>
        <w:t>目的</w:t>
      </w:r>
    </w:p>
    <w:p>
      <w:pPr>
        <w:numPr>
          <w:ilvl w:val="5"/>
          <w:numId w:val="104"/>
        </w:numPr>
      </w:pPr>
      <w:r>
        <w:t>期待する効果</w:t>
      </w:r>
    </w:p>
    <w:p>
      <w:pPr>
        <w:numPr>
          <w:ilvl w:val="5"/>
          <w:numId w:val="104"/>
        </w:numPr>
      </w:pPr>
      <w:r>
        <w:t>業務・情報システムの概要</w:t>
      </w:r>
    </w:p>
    <w:p>
      <w:pPr>
        <w:numPr>
          <w:ilvl w:val="5"/>
          <w:numId w:val="104"/>
        </w:numPr>
      </w:pPr>
      <w:r>
        <w:t>契約期間</w:t>
      </w:r>
    </w:p>
    <w:p>
      <w:pPr>
        <w:numPr>
          <w:ilvl w:val="5"/>
          <w:numId w:val="104"/>
        </w:numPr>
      </w:pPr>
      <w:r>
        <w:t>作業スケジュール等</w:t>
      </w:r>
    </w:p>
    <w:p>
      <w:pPr>
        <w:numPr>
          <w:ilvl w:val="5"/>
          <w:numId w:val="104"/>
        </w:numPr>
      </w:pPr>
      <w:r>
        <w:t>イ 調達案件及び関連調達案件の調達単位、 調達の方式等に関する事項</w:t>
      </w:r>
    </w:p>
    <w:p>
      <w:pPr>
        <w:numPr>
          <w:ilvl w:val="5"/>
          <w:numId w:val="104"/>
        </w:numPr>
      </w:pPr>
      <w:r>
        <w:t>調達案件の調達単位</w:t>
      </w:r>
    </w:p>
    <w:p>
      <w:pPr>
        <w:numPr>
          <w:ilvl w:val="5"/>
          <w:numId w:val="104"/>
        </w:numPr>
      </w:pPr>
      <w:r>
        <w:t>調達の方式</w:t>
      </w:r>
    </w:p>
    <w:p>
      <w:pPr>
        <w:numPr>
          <w:ilvl w:val="5"/>
          <w:numId w:val="104"/>
        </w:numPr>
      </w:pPr>
      <w:r>
        <w:t>実施時期等</w:t>
      </w:r>
    </w:p>
    <w:p>
      <w:pPr>
        <w:numPr>
          <w:ilvl w:val="5"/>
          <w:numId w:val="104"/>
        </w:numPr>
      </w:pPr>
      <w:r>
        <w:t>ウ 作業の実施内容に関する事項</w:t>
      </w:r>
    </w:p>
    <w:p>
      <w:pPr>
        <w:numPr>
          <w:ilvl w:val="5"/>
          <w:numId w:val="104"/>
        </w:numPr>
      </w:pPr>
      <w:r>
        <w:t>作業の内容</w:t>
      </w:r>
    </w:p>
    <w:p>
      <w:pPr>
        <w:numPr>
          <w:ilvl w:val="5"/>
          <w:numId w:val="104"/>
        </w:numPr>
      </w:pPr>
      <w:r>
        <w:t>成果物の範囲</w:t>
      </w:r>
    </w:p>
    <w:p>
      <w:pPr>
        <w:numPr>
          <w:ilvl w:val="5"/>
          <w:numId w:val="104"/>
        </w:numPr>
      </w:pPr>
      <w:r>
        <w:t>納品期日等</w:t>
      </w:r>
    </w:p>
    <w:p>
      <w:pPr>
        <w:numPr>
          <w:ilvl w:val="5"/>
          <w:numId w:val="104"/>
        </w:numPr>
      </w:pPr>
      <w:r>
        <w:t>エ 満たすべき要件に関する事項</w:t>
      </w:r>
    </w:p>
    <w:p>
      <w:pPr>
        <w:numPr>
          <w:ilvl w:val="5"/>
          <w:numId w:val="104"/>
        </w:numPr>
      </w:pPr>
      <w:r>
        <w:t>【重要】要件定義書を別紙として添付</w:t>
      </w:r>
    </w:p>
    <w:p>
      <w:pPr>
        <w:numPr>
          <w:ilvl w:val="5"/>
          <w:numId w:val="104"/>
        </w:numPr>
      </w:pPr>
      <w:r>
        <w:t>要件定義書を満たすべき旨を記載する</w:t>
      </w:r>
    </w:p>
    <w:p>
      <w:pPr>
        <w:numPr>
          <w:ilvl w:val="5"/>
          <w:numId w:val="104"/>
        </w:numPr>
      </w:pPr>
      <w:r>
        <w:t>オ 作業の実施体制・方法に関する事項</w:t>
      </w:r>
    </w:p>
    <w:p>
      <w:pPr>
        <w:numPr>
          <w:ilvl w:val="5"/>
          <w:numId w:val="104"/>
        </w:numPr>
      </w:pPr>
      <w:r>
        <w:t>作業実施体制、 作業要員に求める資格要件、 作業の管理に関する要領等について記載する</w:t>
      </w:r>
    </w:p>
    <w:p>
      <w:pPr>
        <w:numPr>
          <w:ilvl w:val="5"/>
          <w:numId w:val="104"/>
        </w:numPr>
      </w:pPr>
      <w:r>
        <w:t>カ 作業の実施に当たっての遵守事項</w:t>
      </w:r>
    </w:p>
    <w:p>
      <w:pPr>
        <w:numPr>
          <w:ilvl w:val="5"/>
          <w:numId w:val="104"/>
        </w:numPr>
      </w:pPr>
      <w:r>
        <w:t>機密保持、 資料の取扱い、 遵守する法令等について記載する</w:t>
      </w:r>
    </w:p>
    <w:p>
      <w:pPr>
        <w:numPr>
          <w:ilvl w:val="5"/>
          <w:numId w:val="104"/>
        </w:numPr>
      </w:pPr>
      <w:r>
        <w:t>キ 成果物の取扱いに関する事項</w:t>
      </w:r>
    </w:p>
    <w:p>
      <w:pPr>
        <w:numPr>
          <w:ilvl w:val="5"/>
          <w:numId w:val="104"/>
        </w:numPr>
      </w:pPr>
      <w:r>
        <w:t>知的財産権の帰属、 瑕疵担保責任、 検収等について記載する</w:t>
      </w:r>
    </w:p>
    <w:p>
      <w:pPr>
        <w:numPr>
          <w:ilvl w:val="5"/>
          <w:numId w:val="104"/>
        </w:numPr>
      </w:pPr>
      <w:r>
        <w:t>知的財産権の帰属については、 産業技術力強化法（平成12年法律第44号）に基づき、 技術に関する研究開発活動を活性化し、 及び事業活動における効率的な成果物の活用の促進に資するため、 受注者側に知的財産権が帰属するものであることに留意する</w:t>
      </w:r>
    </w:p>
    <w:p>
      <w:pPr>
        <w:numPr>
          <w:ilvl w:val="5"/>
          <w:numId w:val="104"/>
        </w:numPr>
      </w:pPr>
      <w:r>
        <w:t>国の業務に特化した汎用性のないもの 及び継続的な機能改修が見込まれるものについては、 原則として次のとおりとする</w:t>
      </w:r>
    </w:p>
    <w:p>
      <w:pPr>
        <w:numPr>
          <w:ilvl w:val="5"/>
          <w:numId w:val="104"/>
        </w:numPr>
      </w:pPr>
      <w:r>
        <w:t>①発注者側に知的財産権が帰属する旨を例外的に記載する。  発注者側が不利にならないことを条件として、 受注者側に対し、 その利活用を認める旨を記載する</w:t>
      </w:r>
    </w:p>
    <w:p>
      <w:pPr>
        <w:numPr>
          <w:ilvl w:val="5"/>
          <w:numId w:val="104"/>
        </w:numPr>
      </w:pPr>
      <w:r>
        <w:t>②成果物の機密の確保や改変の自由を担保するため、 受注者側により勝手に著作者人格権が行使されないよう、 その旨を記載する</w:t>
      </w:r>
    </w:p>
    <w:p>
      <w:pPr>
        <w:numPr>
          <w:ilvl w:val="5"/>
          <w:numId w:val="104"/>
        </w:numPr>
      </w:pPr>
      <w:r>
        <w:t>③納品物における瑕疵担保責任の期間、 内容及び責任分界点について記載する</w:t>
      </w:r>
    </w:p>
    <w:p>
      <w:pPr>
        <w:numPr>
          <w:ilvl w:val="5"/>
          <w:numId w:val="104"/>
        </w:numPr>
      </w:pPr>
      <w:r>
        <w:t>ク 入札参加資格に関する事項（入札参加要件、 入札制限）</w:t>
      </w:r>
    </w:p>
    <w:p>
      <w:pPr>
        <w:numPr>
          <w:ilvl w:val="5"/>
          <w:numId w:val="104"/>
        </w:numPr>
      </w:pPr>
      <w:r>
        <w:t>ケ 再委託に関する事項</w:t>
      </w:r>
    </w:p>
    <w:p>
      <w:pPr>
        <w:numPr>
          <w:ilvl w:val="5"/>
          <w:numId w:val="104"/>
        </w:numPr>
      </w:pPr>
      <w:r>
        <w:t>コ その他の特記事項</w:t>
      </w:r>
    </w:p>
    <w:p>
      <w:pPr>
        <w:numPr>
          <w:ilvl w:val="5"/>
          <w:numId w:val="104"/>
        </w:numPr>
      </w:pPr>
      <w:r>
        <w:t>サ 附属文書</w:t>
      </w:r>
    </w:p>
    <w:p>
      <w:pPr>
        <w:numPr>
          <w:ilvl w:val="4"/>
          <w:numId w:val="104"/>
        </w:numPr>
      </w:pPr>
      <w:r>
        <w:t>調達</w:t>
      </w:r>
    </w:p>
    <w:p>
      <w:pPr>
        <w:numPr>
          <w:ilvl w:val="5"/>
          <w:numId w:val="104"/>
        </w:numPr>
      </w:pPr>
      <w:r>
        <w:t>要件定義書（案）、 調達仕様書（案）の作成</w:t>
      </w:r>
    </w:p>
    <w:p>
      <w:pPr>
        <w:numPr>
          <w:ilvl w:val="5"/>
          <w:numId w:val="104"/>
        </w:numPr>
      </w:pPr>
      <w:r>
        <w:t>RFI</w:t>
      </w:r>
    </w:p>
    <w:p>
      <w:pPr>
        <w:numPr>
          <w:ilvl w:val="5"/>
          <w:numId w:val="104"/>
        </w:numPr>
      </w:pPr>
      <w:r>
        <w:t>調達仕様書確定</w:t>
      </w:r>
    </w:p>
    <w:p>
      <w:pPr>
        <w:numPr>
          <w:ilvl w:val="5"/>
          <w:numId w:val="104"/>
        </w:numPr>
      </w:pPr>
      <w:r>
        <w:t>RFP・公告</w:t>
      </w:r>
    </w:p>
    <w:p>
      <w:pPr>
        <w:numPr>
          <w:ilvl w:val="5"/>
          <w:numId w:val="104"/>
        </w:numPr>
      </w:pPr>
      <w:r>
        <w:t>審査</w:t>
      </w:r>
    </w:p>
    <w:p>
      <w:pPr>
        <w:numPr>
          <w:ilvl w:val="5"/>
          <w:numId w:val="104"/>
        </w:numPr>
      </w:pPr>
      <w:r>
        <w:t>入開札</w:t>
      </w:r>
    </w:p>
    <w:p>
      <w:pPr>
        <w:numPr>
          <w:ilvl w:val="5"/>
          <w:numId w:val="104"/>
        </w:numPr>
      </w:pPr>
      <w:r>
        <w:t>契約</w:t>
      </w:r>
    </w:p>
    <w:p>
      <w:pPr>
        <w:numPr>
          <w:ilvl w:val="5"/>
          <w:numId w:val="104"/>
        </w:numPr>
      </w:pPr>
      <w:r>
        <w:t>検収</w:t>
      </w:r>
    </w:p>
    <w:p>
      <w:pPr>
        <w:numPr>
          <w:ilvl w:val="4"/>
          <w:numId w:val="104"/>
        </w:numPr>
      </w:pPr>
      <w:r>
        <w:t>設計・開発実施要領の内容</w:t>
      </w:r>
    </w:p>
    <w:p>
      <w:pPr>
        <w:numPr>
          <w:ilvl w:val="5"/>
          <w:numId w:val="104"/>
        </w:numPr>
      </w:pPr>
      <w:r>
        <w:t>ア コミュニケーション管理</w:t>
      </w:r>
    </w:p>
    <w:p>
      <w:pPr>
        <w:numPr>
          <w:ilvl w:val="5"/>
          <w:numId w:val="104"/>
        </w:numPr>
      </w:pPr>
      <w:r>
        <w:t>イ 体制管理</w:t>
      </w:r>
    </w:p>
    <w:p>
      <w:pPr>
        <w:numPr>
          <w:ilvl w:val="5"/>
          <w:numId w:val="104"/>
        </w:numPr>
      </w:pPr>
      <w:r>
        <w:t>ウ 工程管理</w:t>
      </w:r>
    </w:p>
    <w:p>
      <w:pPr>
        <w:numPr>
          <w:ilvl w:val="5"/>
          <w:numId w:val="104"/>
        </w:numPr>
      </w:pPr>
      <w:r>
        <w:t>エ 品質管理</w:t>
      </w:r>
    </w:p>
    <w:p>
      <w:pPr>
        <w:numPr>
          <w:ilvl w:val="5"/>
          <w:numId w:val="104"/>
        </w:numPr>
      </w:pPr>
      <w:r>
        <w:t>オ リスク管理</w:t>
      </w:r>
    </w:p>
    <w:p>
      <w:pPr>
        <w:numPr>
          <w:ilvl w:val="5"/>
          <w:numId w:val="104"/>
        </w:numPr>
      </w:pPr>
      <w:r>
        <w:t>カ 課題管理</w:t>
      </w:r>
    </w:p>
    <w:p>
      <w:pPr>
        <w:numPr>
          <w:ilvl w:val="5"/>
          <w:numId w:val="104"/>
        </w:numPr>
      </w:pPr>
      <w:r>
        <w:t>キ システム構成管理</w:t>
      </w:r>
    </w:p>
    <w:p>
      <w:pPr>
        <w:numPr>
          <w:ilvl w:val="5"/>
          <w:numId w:val="104"/>
        </w:numPr>
      </w:pPr>
      <w:r>
        <w:t>ク 変更管理</w:t>
      </w:r>
    </w:p>
    <w:p>
      <w:pPr>
        <w:numPr>
          <w:ilvl w:val="5"/>
          <w:numId w:val="104"/>
        </w:numPr>
      </w:pPr>
      <w:r>
        <w:t>ケ 情報セキュリティ対策</w:t>
      </w:r>
    </w:p>
    <w:p>
      <w:pPr>
        <w:numPr>
          <w:ilvl w:val="4"/>
          <w:numId w:val="104"/>
        </w:numPr>
      </w:pPr>
      <w:r>
        <w:t>設計・開発</w:t>
      </w:r>
    </w:p>
    <w:p>
      <w:pPr>
        <w:numPr>
          <w:ilvl w:val="5"/>
          <w:numId w:val="104"/>
        </w:numPr>
      </w:pPr>
      <w:r>
        <w:t>設計・開発実施計画書等の作成</w:t>
      </w:r>
    </w:p>
    <w:p>
      <w:pPr>
        <w:numPr>
          <w:ilvl w:val="5"/>
          <w:numId w:val="104"/>
        </w:numPr>
      </w:pPr>
      <w:r>
        <w:t>設計・開発工程に入る前の要件定義の内容の調整・確定</w:t>
      </w:r>
    </w:p>
    <w:p>
      <w:pPr>
        <w:numPr>
          <w:ilvl w:val="5"/>
          <w:numId w:val="104"/>
        </w:numPr>
      </w:pPr>
      <w:r>
        <w:t>設計</w:t>
      </w:r>
    </w:p>
    <w:p>
      <w:pPr>
        <w:numPr>
          <w:ilvl w:val="5"/>
          <w:numId w:val="104"/>
        </w:numPr>
      </w:pPr>
      <w:r>
        <w:t>１） 要件定義の内容との整合性確認</w:t>
      </w:r>
    </w:p>
    <w:p>
      <w:pPr>
        <w:numPr>
          <w:ilvl w:val="5"/>
          <w:numId w:val="104"/>
        </w:numPr>
      </w:pPr>
      <w:r>
        <w:t>２） 関係機関、 情報システムの利用者等との調整</w:t>
      </w:r>
    </w:p>
    <w:p>
      <w:pPr>
        <w:numPr>
          <w:ilvl w:val="5"/>
          <w:numId w:val="104"/>
        </w:numPr>
      </w:pPr>
      <w:r>
        <w:t>３） 移行計画書の案の作成</w:t>
      </w:r>
    </w:p>
    <w:p>
      <w:pPr>
        <w:numPr>
          <w:ilvl w:val="5"/>
          <w:numId w:val="104"/>
        </w:numPr>
      </w:pPr>
      <w:r>
        <w:t>４） 中長期運用・保守作業計画の案の作成</w:t>
      </w:r>
    </w:p>
    <w:p>
      <w:pPr>
        <w:numPr>
          <w:ilvl w:val="5"/>
          <w:numId w:val="104"/>
        </w:numPr>
      </w:pPr>
      <w:r>
        <w:t>５） 運用計画及び保守作業計画の案の作成</w:t>
      </w:r>
    </w:p>
    <w:p>
      <w:pPr>
        <w:numPr>
          <w:ilvl w:val="5"/>
          <w:numId w:val="104"/>
        </w:numPr>
      </w:pPr>
      <w:r>
        <w:t>６） 運用体制等</w:t>
      </w:r>
    </w:p>
    <w:p>
      <w:pPr>
        <w:numPr>
          <w:ilvl w:val="5"/>
          <w:numId w:val="104"/>
        </w:numPr>
      </w:pPr>
      <w:r>
        <w:t>開発・テスト</w:t>
      </w:r>
    </w:p>
    <w:p>
      <w:pPr>
        <w:numPr>
          <w:ilvl w:val="5"/>
          <w:numId w:val="104"/>
        </w:numPr>
      </w:pPr>
      <w:r>
        <w:t>１） テスト計画書の作成</w:t>
      </w:r>
    </w:p>
    <w:p>
      <w:pPr>
        <w:numPr>
          <w:ilvl w:val="5"/>
          <w:numId w:val="104"/>
        </w:numPr>
      </w:pPr>
      <w:r>
        <w:t>２） 単体テスト</w:t>
      </w:r>
    </w:p>
    <w:p>
      <w:pPr>
        <w:numPr>
          <w:ilvl w:val="5"/>
          <w:numId w:val="104"/>
        </w:numPr>
      </w:pPr>
      <w:r>
        <w:t>３） 結合テスト・総合テスト</w:t>
      </w:r>
    </w:p>
    <w:p>
      <w:pPr>
        <w:numPr>
          <w:ilvl w:val="5"/>
          <w:numId w:val="104"/>
        </w:numPr>
      </w:pPr>
      <w:r>
        <w:t>４） テスト手順・データの再利用対策</w:t>
      </w:r>
    </w:p>
    <w:p>
      <w:pPr>
        <w:numPr>
          <w:ilvl w:val="5"/>
          <w:numId w:val="104"/>
        </w:numPr>
      </w:pPr>
      <w:r>
        <w:t>受入テストの実施</w:t>
      </w:r>
    </w:p>
    <w:p>
      <w:pPr>
        <w:numPr>
          <w:ilvl w:val="5"/>
          <w:numId w:val="104"/>
        </w:numPr>
      </w:pPr>
      <w:r>
        <w:t>１） 受入テストのテスト計画書の作成</w:t>
      </w:r>
    </w:p>
    <w:p>
      <w:pPr>
        <w:numPr>
          <w:ilvl w:val="5"/>
          <w:numId w:val="104"/>
        </w:numPr>
      </w:pPr>
      <w:r>
        <w:t>２） 受入テスト</w:t>
      </w:r>
    </w:p>
    <w:p>
      <w:pPr>
        <w:numPr>
          <w:ilvl w:val="5"/>
          <w:numId w:val="104"/>
        </w:numPr>
      </w:pPr>
      <w:r>
        <w:t>情報システムの本番移行</w:t>
      </w:r>
    </w:p>
    <w:p>
      <w:pPr>
        <w:numPr>
          <w:ilvl w:val="5"/>
          <w:numId w:val="104"/>
        </w:numPr>
      </w:pPr>
      <w:r>
        <w:t>引き継ぎ</w:t>
      </w:r>
    </w:p>
    <w:p>
      <w:pPr>
        <w:numPr>
          <w:ilvl w:val="5"/>
          <w:numId w:val="104"/>
        </w:numPr>
      </w:pPr>
      <w:r>
        <w:t>検査・納品管理</w:t>
      </w:r>
    </w:p>
    <w:p>
      <w:pPr>
        <w:numPr>
          <w:ilvl w:val="2"/>
          <w:numId w:val="104"/>
        </w:numPr>
      </w:pPr>
      <w:r>
        <w:drawing>
          <wp:inline>
            <wp:extent cx="127000" cy="1270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標準ガイドラインにおけるIT人材の育成・確保の考え方</w:t>
      </w:r>
    </w:p>
    <w:p>
      <w:pPr>
        <w:numPr>
          <w:ilvl w:val="3"/>
          <w:numId w:val="104"/>
        </w:numPr>
      </w:pPr>
      <w:r>
        <w:t>Subtopic</w:t>
      </w:r>
    </w:p>
    <w:p>
      <w:pPr>
        <w:numPr>
          <w:ilvl w:val="0"/>
          <w:numId w:val="0"/>
        </w:numPr>
        <w:ind w:left="1520"/>
      </w:pPr>
    </w:p>
    <w:p>
      <w:pPr>
        <w:numPr>
          <w:ilvl w:val="0"/>
          <w:numId w:val="0"/>
        </w:numPr>
        <w:ind w:left="1520"/>
      </w:pPr>
      <w:r>
        <w:drawing>
          <wp:anchor simplePos="0" relativeHeight="251658240" behindDoc="0" locked="0" layoutInCell="1" allowOverlap="1">
            <wp:simplePos x="0" y="0"/>
            <wp:positionH relativeFrom="column">
              <wp:posOffset>965200</wp:posOffset>
            </wp:positionH>
            <wp:positionV relativeFrom="line">
              <wp:posOffset>1270</wp:posOffset>
            </wp:positionV>
            <wp:extent cx="4335780" cy="2674620"/>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9"/>
                    <a:stretch>
                      <a:fillRect/>
                    </a:stretch>
                  </pic:blipFill>
                  <pic:spPr>
                    <a:xfrm>
                      <a:off x="0" y="0"/>
                      <a:ext cx="4335780" cy="2674620"/>
                    </a:xfrm>
                    <a:prstGeom prst="rect">
                      <a:avLst/>
                    </a:prstGeom>
                  </pic:spPr>
                </pic:pic>
              </a:graphicData>
            </a:graphic>
          </wp:anchor>
        </w:drawing>
      </w:r>
    </w:p>
    <w:p>
      <w:pPr>
        <w:numPr>
          <w:ilvl w:val="3"/>
          <w:numId w:val="104"/>
        </w:numPr>
      </w:pPr>
      <w:r>
        <w:t>組織内において、 人事ローテーションの工夫を検討するなど、 中長期的な視点に立って計画的に推進。</w:t>
      </w:r>
    </w:p>
    <w:p>
      <w:pPr>
        <w:numPr>
          <w:ilvl w:val="3"/>
          <w:numId w:val="104"/>
        </w:numPr>
      </w:pPr>
      <w:r>
        <w:t>専門的・技術的な知識・能力だけでなく、 業務分析、 業務の見直しの企画立案、 プロジェクト管理等の能力の取得が重要。</w:t>
      </w:r>
    </w:p>
    <w:p>
      <w:pPr>
        <w:numPr>
          <w:ilvl w:val="3"/>
          <w:numId w:val="104"/>
        </w:numPr>
      </w:pPr>
      <w:r>
        <w:t>業務は、 情報システムを活用してデータの作成や活用ができることが不可欠。  一般職員のITリテラシの向上にも努めることが重要。</w:t>
      </w:r>
    </w:p>
    <w:p>
      <w:pPr>
        <w:numPr>
          <w:ilvl w:val="2"/>
          <w:numId w:val="104"/>
        </w:numPr>
      </w:pPr>
      <w:r>
        <w:drawing>
          <wp:inline>
            <wp:extent cx="127000" cy="127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【引用資料】</w:t>
      </w:r>
    </w:p>
    <w:p>
      <w:pPr>
        <w:numPr>
          <w:ilvl w:val="3"/>
          <w:numId w:val="104"/>
        </w:numPr>
      </w:pPr>
      <w:r>
        <w:t>政府情報システムの整備及び管理に関する標準ガイドライン</w:t>
      </w:r>
    </w:p>
    <w:p>
      <w:pPr>
        <w:numPr>
          <w:ilvl w:val="3"/>
          <w:numId w:val="104"/>
        </w:numPr>
      </w:pPr>
      <w:r>
        <w:t>政府情報システムの整備及び管理に関する標準ガイドライン（実務手引書）</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標準ガイドラインに沿った実践の留意点</w:t>
      </w:r>
    </w:p>
    <w:p>
      <w:pPr>
        <w:numPr>
          <w:ilvl w:val="2"/>
          <w:numId w:val="104"/>
        </w:numPr>
      </w:pPr>
      <w:r>
        <w:drawing>
          <wp:inline>
            <wp:extent cx="127000" cy="1270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標準ガイドラインにおける要件定義考え方</w:t>
      </w:r>
    </w:p>
    <w:p>
      <w:pPr>
        <w:numPr>
          <w:ilvl w:val="3"/>
          <w:numId w:val="104"/>
        </w:numPr>
      </w:pPr>
      <w:r>
        <w:t>Subtopic</w:t>
      </w:r>
    </w:p>
    <w:p>
      <w:pPr>
        <w:numPr>
          <w:ilvl w:val="0"/>
          <w:numId w:val="0"/>
        </w:numPr>
        <w:ind w:left="1520"/>
      </w:pPr>
    </w:p>
    <w:p>
      <w:pPr>
        <w:numPr>
          <w:ilvl w:val="0"/>
          <w:numId w:val="0"/>
        </w:numPr>
        <w:ind w:left="1520"/>
      </w:pPr>
      <w:r>
        <w:drawing>
          <wp:anchor simplePos="0" relativeHeight="251659264" behindDoc="0" locked="0" layoutInCell="1" allowOverlap="1">
            <wp:simplePos x="0" y="0"/>
            <wp:positionH relativeFrom="column">
              <wp:posOffset>965200</wp:posOffset>
            </wp:positionH>
            <wp:positionV relativeFrom="line">
              <wp:posOffset>1270</wp:posOffset>
            </wp:positionV>
            <wp:extent cx="4320540" cy="1577340"/>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0"/>
                    <a:stretch>
                      <a:fillRect/>
                    </a:stretch>
                  </pic:blipFill>
                  <pic:spPr>
                    <a:xfrm>
                      <a:off x="0" y="0"/>
                      <a:ext cx="4320540" cy="1577340"/>
                    </a:xfrm>
                    <a:prstGeom prst="rect">
                      <a:avLst/>
                    </a:prstGeom>
                  </pic:spPr>
                </pic:pic>
              </a:graphicData>
            </a:graphic>
          </wp:anchor>
        </w:drawing>
      </w:r>
    </w:p>
    <w:p>
      <w:pPr>
        <w:numPr>
          <w:ilvl w:val="3"/>
          <w:numId w:val="104"/>
        </w:numPr>
      </w:pPr>
      <w:r>
        <w:t>要件定義は、 情報システムを整備する上で 「どのようなシステムを実現するか」の絵姿を描く重要な作業であり、 その成果物である要件定義書は後工程の重要なインプットとなる。  さらに、 見積もりや、 特に政府においては調達のための主要なドキュメントの一つとして 位置付けられる。</w:t>
      </w:r>
    </w:p>
    <w:p>
      <w:pPr>
        <w:numPr>
          <w:ilvl w:val="2"/>
          <w:numId w:val="104"/>
        </w:numPr>
      </w:pPr>
      <w:r>
        <w:drawing>
          <wp:inline>
            <wp:extent cx="127000" cy="1270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標準ガイドラインにおける調達の考え方</w:t>
      </w:r>
    </w:p>
    <w:p>
      <w:pPr>
        <w:numPr>
          <w:ilvl w:val="3"/>
          <w:numId w:val="104"/>
        </w:numPr>
      </w:pPr>
      <w:r>
        <w:t>Subtopic</w:t>
      </w:r>
    </w:p>
    <w:p>
      <w:pPr>
        <w:numPr>
          <w:ilvl w:val="0"/>
          <w:numId w:val="0"/>
        </w:numPr>
        <w:ind w:left="1520"/>
      </w:pPr>
    </w:p>
    <w:p>
      <w:pPr>
        <w:numPr>
          <w:ilvl w:val="0"/>
          <w:numId w:val="0"/>
        </w:numPr>
        <w:ind w:left="1520"/>
      </w:pPr>
      <w:r>
        <w:drawing>
          <wp:anchor simplePos="0" relativeHeight="251660288" behindDoc="0" locked="0" layoutInCell="1" allowOverlap="1">
            <wp:simplePos x="0" y="0"/>
            <wp:positionH relativeFrom="column">
              <wp:posOffset>965200</wp:posOffset>
            </wp:positionH>
            <wp:positionV relativeFrom="line">
              <wp:posOffset>1270</wp:posOffset>
            </wp:positionV>
            <wp:extent cx="4320540" cy="2552700"/>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1"/>
                    <a:stretch>
                      <a:fillRect/>
                    </a:stretch>
                  </pic:blipFill>
                  <pic:spPr>
                    <a:xfrm>
                      <a:off x="0" y="0"/>
                      <a:ext cx="4320540" cy="2552700"/>
                    </a:xfrm>
                    <a:prstGeom prst="rect">
                      <a:avLst/>
                    </a:prstGeom>
                  </pic:spPr>
                </pic:pic>
              </a:graphicData>
            </a:graphic>
          </wp:anchor>
        </w:drawing>
      </w:r>
    </w:p>
    <w:p>
      <w:pPr>
        <w:numPr>
          <w:ilvl w:val="2"/>
          <w:numId w:val="104"/>
        </w:numPr>
      </w:pPr>
      <w:r>
        <w:drawing>
          <wp:inline>
            <wp:extent cx="127000" cy="1270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調達方式の決定の判断</w:t>
      </w:r>
    </w:p>
    <w:p>
      <w:pPr>
        <w:numPr>
          <w:ilvl w:val="3"/>
          <w:numId w:val="104"/>
        </w:numPr>
      </w:pPr>
      <w:r>
        <w:t>Subtopic</w:t>
      </w:r>
    </w:p>
    <w:p>
      <w:pPr>
        <w:numPr>
          <w:ilvl w:val="0"/>
          <w:numId w:val="0"/>
        </w:numPr>
        <w:ind w:left="1520"/>
      </w:pPr>
    </w:p>
    <w:p>
      <w:pPr>
        <w:numPr>
          <w:ilvl w:val="0"/>
          <w:numId w:val="0"/>
        </w:numPr>
        <w:ind w:left="1520"/>
      </w:pPr>
      <w:r>
        <w:drawing>
          <wp:anchor simplePos="0" relativeHeight="251661312" behindDoc="0" locked="0" layoutInCell="1" allowOverlap="1">
            <wp:simplePos x="0" y="0"/>
            <wp:positionH relativeFrom="column">
              <wp:posOffset>965200</wp:posOffset>
            </wp:positionH>
            <wp:positionV relativeFrom="line">
              <wp:posOffset>1270</wp:posOffset>
            </wp:positionV>
            <wp:extent cx="4320540" cy="2316480"/>
            <wp:wrapTopAndBottom/>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2"/>
                    <a:stretch>
                      <a:fillRect/>
                    </a:stretch>
                  </pic:blipFill>
                  <pic:spPr>
                    <a:xfrm>
                      <a:off x="0" y="0"/>
                      <a:ext cx="4320540" cy="2316480"/>
                    </a:xfrm>
                    <a:prstGeom prst="rect">
                      <a:avLst/>
                    </a:prstGeom>
                  </pic:spPr>
                </pic:pic>
              </a:graphicData>
            </a:graphic>
          </wp:anchor>
        </w:drawing>
      </w:r>
    </w:p>
    <w:p>
      <w:pPr>
        <w:numPr>
          <w:ilvl w:val="2"/>
          <w:numId w:val="104"/>
        </w:numPr>
      </w:pPr>
      <w:r>
        <w:drawing>
          <wp:inline>
            <wp:extent cx="127000" cy="1270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調達方式の決定の判断（例）</w:t>
      </w:r>
    </w:p>
    <w:p>
      <w:pPr>
        <w:numPr>
          <w:ilvl w:val="3"/>
          <w:numId w:val="104"/>
        </w:numPr>
      </w:pPr>
      <w:r>
        <w:t>基本は、 一般競争入札（最低価格落札方式）</w:t>
      </w:r>
    </w:p>
    <w:p>
      <w:pPr>
        <w:numPr>
          <w:ilvl w:val="4"/>
          <w:numId w:val="104"/>
        </w:numPr>
      </w:pPr>
      <w:r>
        <w:t>仕様書の解釈により、 実施内容にブレがでない詳細な仕様提示が必要【ハードウェア類】</w:t>
      </w:r>
    </w:p>
    <w:p>
      <w:pPr>
        <w:numPr>
          <w:ilvl w:val="4"/>
          <w:numId w:val="104"/>
        </w:numPr>
      </w:pPr>
      <w:r>
        <w:t>予定価格の妥当性の評価は必要だが、 業者見積もりの妥当性は評価する能力は求められない</w:t>
      </w:r>
    </w:p>
    <w:p>
      <w:pPr>
        <w:numPr>
          <w:ilvl w:val="4"/>
          <w:numId w:val="104"/>
        </w:numPr>
      </w:pPr>
      <w:r>
        <w:t>一般競争入札（総合評価落札方式）【ソフトウェア類】</w:t>
      </w:r>
    </w:p>
    <w:p>
      <w:pPr>
        <w:numPr>
          <w:ilvl w:val="4"/>
          <w:numId w:val="104"/>
        </w:numPr>
      </w:pPr>
      <w:r>
        <w:t>提案者の創意工夫の余地を残し、 提案内容の優劣を技術点で評価する</w:t>
      </w:r>
    </w:p>
    <w:p>
      <w:pPr>
        <w:numPr>
          <w:ilvl w:val="3"/>
          <w:numId w:val="104"/>
        </w:numPr>
      </w:pPr>
      <w:r>
        <w:t>企画競争</w:t>
      </w:r>
    </w:p>
    <w:p>
      <w:pPr>
        <w:numPr>
          <w:ilvl w:val="4"/>
          <w:numId w:val="104"/>
        </w:numPr>
      </w:pPr>
      <w:r>
        <w:t>具体的な実装方式を特定せず、 提案者の創意工夫の内容の優劣で評価する</w:t>
      </w:r>
    </w:p>
    <w:p>
      <w:pPr>
        <w:numPr>
          <w:ilvl w:val="4"/>
          <w:numId w:val="104"/>
        </w:numPr>
      </w:pPr>
      <w:r>
        <w:t>業者を選定後は、 随意契約として扱われる</w:t>
      </w:r>
    </w:p>
    <w:p>
      <w:pPr>
        <w:numPr>
          <w:ilvl w:val="3"/>
          <w:numId w:val="104"/>
        </w:numPr>
      </w:pPr>
      <w:r>
        <w:t>随意契約</w:t>
      </w:r>
    </w:p>
    <w:p>
      <w:pPr>
        <w:numPr>
          <w:ilvl w:val="4"/>
          <w:numId w:val="104"/>
        </w:numPr>
      </w:pPr>
      <w:r>
        <w:t>業者の言いなりにならないようにすることが肝要</w:t>
      </w:r>
    </w:p>
    <w:p>
      <w:pPr>
        <w:numPr>
          <w:ilvl w:val="4"/>
          <w:numId w:val="104"/>
        </w:numPr>
      </w:pPr>
      <w:r>
        <w:t>実施内容と業者見積もり額の妥当性を精緻に評価する能力が必要</w:t>
      </w:r>
    </w:p>
    <w:p>
      <w:pPr>
        <w:numPr>
          <w:ilvl w:val="2"/>
          <w:numId w:val="104"/>
        </w:numPr>
      </w:pPr>
      <w:r>
        <w:drawing>
          <wp:inline>
            <wp:extent cx="127000" cy="1270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調達方式の違いと作成する仕様書の精緻度</w:t>
      </w:r>
    </w:p>
    <w:p>
      <w:pPr>
        <w:numPr>
          <w:ilvl w:val="3"/>
          <w:numId w:val="104"/>
        </w:numPr>
      </w:pPr>
      <w:r>
        <w:t>Subtopic</w:t>
      </w:r>
    </w:p>
    <w:p>
      <w:pPr>
        <w:numPr>
          <w:ilvl w:val="0"/>
          <w:numId w:val="0"/>
        </w:numPr>
        <w:ind w:left="1520"/>
      </w:pPr>
    </w:p>
    <w:p>
      <w:pPr>
        <w:numPr>
          <w:ilvl w:val="0"/>
          <w:numId w:val="0"/>
        </w:numPr>
        <w:ind w:left="1520"/>
      </w:pPr>
      <w:r>
        <w:drawing>
          <wp:anchor simplePos="0" relativeHeight="251662336" behindDoc="0" locked="0" layoutInCell="1" allowOverlap="1">
            <wp:simplePos x="0" y="0"/>
            <wp:positionH relativeFrom="column">
              <wp:posOffset>965200</wp:posOffset>
            </wp:positionH>
            <wp:positionV relativeFrom="line">
              <wp:posOffset>1270</wp:posOffset>
            </wp:positionV>
            <wp:extent cx="4335780" cy="2468880"/>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3"/>
                    <a:stretch>
                      <a:fillRect/>
                    </a:stretch>
                  </pic:blipFill>
                  <pic:spPr>
                    <a:xfrm>
                      <a:off x="0" y="0"/>
                      <a:ext cx="4335780" cy="2468880"/>
                    </a:xfrm>
                    <a:prstGeom prst="rect">
                      <a:avLst/>
                    </a:prstGeom>
                  </pic:spPr>
                </pic:pic>
              </a:graphicData>
            </a:graphic>
          </wp:anchor>
        </w:drawing>
      </w:r>
    </w:p>
    <w:p>
      <w:pPr>
        <w:numPr>
          <w:ilvl w:val="3"/>
          <w:numId w:val="104"/>
        </w:numPr>
      </w:pPr>
      <w:r>
        <w:t>提案依頼書（RFP）は、 調達方式に寄らず作成する必要がある</w:t>
      </w:r>
    </w:p>
    <w:p>
      <w:pPr>
        <w:numPr>
          <w:ilvl w:val="3"/>
          <w:numId w:val="104"/>
        </w:numPr>
      </w:pPr>
      <w:r>
        <w:t>一般競争入札（最低価格落札方式）が最も、 より精緻な要件定義能力が求められる</w:t>
      </w:r>
    </w:p>
    <w:p>
      <w:pPr>
        <w:numPr>
          <w:ilvl w:val="3"/>
          <w:numId w:val="104"/>
        </w:numPr>
      </w:pPr>
      <w:r>
        <w:t>随意契約は、 より精緻な実施内容・見積価格評価能力が求められる</w:t>
      </w:r>
    </w:p>
    <w:p>
      <w:pPr>
        <w:numPr>
          <w:ilvl w:val="2"/>
          <w:numId w:val="104"/>
        </w:numPr>
      </w:pPr>
      <w: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政府標準ガイドラインに沿った開発タスクとドキュメント</w:t>
      </w:r>
    </w:p>
    <w:p>
      <w:pPr>
        <w:numPr>
          <w:ilvl w:val="3"/>
          <w:numId w:val="104"/>
        </w:numPr>
      </w:pPr>
      <w:r>
        <w:t>Subtopic</w:t>
      </w:r>
    </w:p>
    <w:p>
      <w:pPr>
        <w:numPr>
          <w:ilvl w:val="0"/>
          <w:numId w:val="0"/>
        </w:numPr>
        <w:ind w:left="1520"/>
      </w:pPr>
    </w:p>
    <w:p>
      <w:pPr>
        <w:numPr>
          <w:ilvl w:val="0"/>
          <w:numId w:val="0"/>
        </w:numPr>
        <w:ind w:left="1520"/>
      </w:pPr>
      <w:r>
        <w:drawing>
          <wp:anchor simplePos="0" relativeHeight="251663360" behindDoc="0" locked="0" layoutInCell="1" allowOverlap="1">
            <wp:simplePos x="0" y="0"/>
            <wp:positionH relativeFrom="column">
              <wp:posOffset>965200</wp:posOffset>
            </wp:positionH>
            <wp:positionV relativeFrom="line">
              <wp:posOffset>1270</wp:posOffset>
            </wp:positionV>
            <wp:extent cx="4229100" cy="2011680"/>
            <wp:wrapTopAndBottom/>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4"/>
                    <a:stretch>
                      <a:fillRect/>
                    </a:stretch>
                  </pic:blipFill>
                  <pic:spPr>
                    <a:xfrm>
                      <a:off x="0" y="0"/>
                      <a:ext cx="4229100" cy="2011680"/>
                    </a:xfrm>
                    <a:prstGeom prst="rect">
                      <a:avLst/>
                    </a:prstGeom>
                  </pic:spPr>
                </pic:pic>
              </a:graphicData>
            </a:graphic>
          </wp:anchor>
        </w:drawing>
      </w:r>
    </w:p>
    <w:p>
      <w:pPr>
        <w:numPr>
          <w:ilvl w:val="3"/>
          <w:numId w:val="104"/>
        </w:numPr>
      </w:pPr>
      <w:r>
        <w:t>この図は、 政府標準ガイドラインに沿って、 組織としての事業計画に基づいた、 業務・サービスの企画段階から、 運用・保守、 その後のシステム監査まで様々な業務（タスク）があるが、 その各工程でのドキュメントを抜き出したもの。</w:t>
      </w:r>
    </w:p>
    <w:p>
      <w:pPr>
        <w:numPr>
          <w:ilvl w:val="3"/>
          <w:numId w:val="104"/>
        </w:numPr>
      </w:pPr>
      <w:r>
        <w:t>工程ごとに様々な種類の仕様書類があるが、 テンプレート的にデフォルトとなる記述内容が示されており、 計画書・企画書をベースに、 必要な手続き、 仕様内容を加筆訂正していく形でドキュメント化していくことが可能である。</w:t>
      </w:r>
    </w:p>
    <w:p>
      <w:pPr>
        <w:numPr>
          <w:ilvl w:val="3"/>
          <w:numId w:val="104"/>
        </w:numPr>
      </w:pPr>
      <w:r>
        <w:t>アーカイブ機関のデジタルアーカイブ構築においては、 特に、 要求要件を明確にして、 個々の機能要件部分を精緻化していくことに注力する必要がある。</w:t>
      </w:r>
    </w:p>
    <w:p>
      <w:pPr>
        <w:numPr>
          <w:ilvl w:val="2"/>
          <w:numId w:val="104"/>
        </w:numPr>
      </w:pPr>
      <w: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外部委託に必要なドキュメントと手続き（一般競争入札）</w:t>
      </w:r>
    </w:p>
    <w:p>
      <w:pPr>
        <w:numPr>
          <w:ilvl w:val="3"/>
          <w:numId w:val="104"/>
        </w:numPr>
      </w:pPr>
      <w:r>
        <w:t>Subtopic</w:t>
      </w:r>
    </w:p>
    <w:p>
      <w:pPr>
        <w:numPr>
          <w:ilvl w:val="0"/>
          <w:numId w:val="0"/>
        </w:numPr>
        <w:ind w:left="1520"/>
      </w:pPr>
    </w:p>
    <w:p>
      <w:pPr>
        <w:numPr>
          <w:ilvl w:val="0"/>
          <w:numId w:val="0"/>
        </w:numPr>
        <w:ind w:left="1520"/>
      </w:pPr>
      <w:r>
        <w:drawing>
          <wp:anchor simplePos="0" relativeHeight="251664384" behindDoc="0" locked="0" layoutInCell="1" allowOverlap="1">
            <wp:simplePos x="0" y="0"/>
            <wp:positionH relativeFrom="column">
              <wp:posOffset>965200</wp:posOffset>
            </wp:positionH>
            <wp:positionV relativeFrom="line">
              <wp:posOffset>1270</wp:posOffset>
            </wp:positionV>
            <wp:extent cx="4335780" cy="2255520"/>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5"/>
                    <a:stretch>
                      <a:fillRect/>
                    </a:stretch>
                  </pic:blipFill>
                  <pic:spPr>
                    <a:xfrm>
                      <a:off x="0" y="0"/>
                      <a:ext cx="4335780" cy="2255520"/>
                    </a:xfrm>
                    <a:prstGeom prst="rect">
                      <a:avLst/>
                    </a:prstGeom>
                  </pic:spPr>
                </pic:pic>
              </a:graphicData>
            </a:graphic>
          </wp:anchor>
        </w:drawing>
      </w:r>
    </w:p>
    <w:p>
      <w:pPr>
        <w:numPr>
          <w:ilvl w:val="3"/>
          <w:numId w:val="104"/>
        </w:numPr>
      </w:pPr>
      <w:r>
        <w:t>業務要件書は、 要件定義書に含まれる</w:t>
      </w:r>
    </w:p>
    <w:p>
      <w:pPr>
        <w:numPr>
          <w:ilvl w:val="3"/>
          <w:numId w:val="104"/>
        </w:numPr>
      </w:pPr>
      <w:r>
        <w:t>要件定義書は、 調達仕様書に含まれる</w:t>
      </w:r>
    </w:p>
    <w:p>
      <w:pPr>
        <w:numPr>
          <w:ilvl w:val="3"/>
          <w:numId w:val="104"/>
        </w:numPr>
      </w:pPr>
      <w:r>
        <w:t>調達仕様書は、 提案依頼書に含まれる</w:t>
      </w:r>
    </w:p>
    <w:p>
      <w:pPr>
        <w:numPr>
          <w:ilvl w:val="3"/>
          <w:numId w:val="104"/>
        </w:numPr>
      </w:pPr>
      <w:r>
        <w:t>工程ごとに様々な仕様書類を作成することになるが、 そのもとは、 事業計画であり、 個別のプロジェクト計画から作成され、 それぞれが引用されていく</w:t>
      </w:r>
    </w:p>
    <w:p>
      <w:pPr>
        <w:numPr>
          <w:ilvl w:val="3"/>
          <w:numId w:val="104"/>
        </w:numPr>
      </w:pPr>
      <w:r>
        <w:t>つまり、 作業が進んだ段階で計画が変更になれば、 プロジェクト計画書にフィードバックする必要がある</w:t>
      </w:r>
    </w:p>
    <w:p>
      <w:pPr>
        <w:numPr>
          <w:ilvl w:val="2"/>
          <w:numId w:val="104"/>
        </w:numPr>
      </w:pPr>
      <w: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標準ガイドラインに示す各種計画書等の関係</w:t>
      </w:r>
    </w:p>
    <w:p>
      <w:pPr>
        <w:numPr>
          <w:ilvl w:val="3"/>
          <w:numId w:val="104"/>
        </w:numPr>
      </w:pPr>
      <w:r>
        <w:t>Subtopic</w:t>
      </w:r>
    </w:p>
    <w:p>
      <w:pPr>
        <w:numPr>
          <w:ilvl w:val="0"/>
          <w:numId w:val="0"/>
        </w:numPr>
        <w:ind w:left="1520"/>
      </w:pPr>
    </w:p>
    <w:p>
      <w:pPr>
        <w:numPr>
          <w:ilvl w:val="0"/>
          <w:numId w:val="0"/>
        </w:numPr>
        <w:ind w:left="1520"/>
      </w:pPr>
      <w:r>
        <w:drawing>
          <wp:anchor simplePos="0" relativeHeight="251665408" behindDoc="0" locked="0" layoutInCell="1" allowOverlap="1">
            <wp:simplePos x="0" y="0"/>
            <wp:positionH relativeFrom="column">
              <wp:posOffset>965200</wp:posOffset>
            </wp:positionH>
            <wp:positionV relativeFrom="line">
              <wp:posOffset>1270</wp:posOffset>
            </wp:positionV>
            <wp:extent cx="4335780" cy="2781300"/>
            <wp:wrapTopAndBottom/>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6"/>
                    <a:stretch>
                      <a:fillRect/>
                    </a:stretch>
                  </pic:blipFill>
                  <pic:spPr>
                    <a:xfrm>
                      <a:off x="0" y="0"/>
                      <a:ext cx="4335780" cy="2781300"/>
                    </a:xfrm>
                    <a:prstGeom prst="rect">
                      <a:avLst/>
                    </a:prstGeom>
                  </pic:spPr>
                </pic:pic>
              </a:graphicData>
            </a:graphic>
          </wp:anchor>
        </w:drawing>
      </w:r>
    </w:p>
    <w:p>
      <w:pPr>
        <w:numPr>
          <w:ilvl w:val="2"/>
          <w:numId w:val="104"/>
        </w:numPr>
      </w:pPr>
      <w: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各種ドキュメントに記載されるべき項目</w:t>
      </w:r>
    </w:p>
    <w:p>
      <w:pPr>
        <w:numPr>
          <w:ilvl w:val="3"/>
          <w:numId w:val="104"/>
        </w:numPr>
      </w:pPr>
      <w:r>
        <w:t>Subtopic</w:t>
      </w:r>
    </w:p>
    <w:p>
      <w:pPr>
        <w:numPr>
          <w:ilvl w:val="0"/>
          <w:numId w:val="0"/>
        </w:numPr>
        <w:ind w:left="1520"/>
      </w:pPr>
    </w:p>
    <w:p>
      <w:pPr>
        <w:numPr>
          <w:ilvl w:val="0"/>
          <w:numId w:val="0"/>
        </w:numPr>
        <w:ind w:left="1520"/>
      </w:pPr>
      <w:r>
        <w:drawing>
          <wp:anchor simplePos="0" relativeHeight="251666432" behindDoc="0" locked="0" layoutInCell="1" allowOverlap="1">
            <wp:simplePos x="0" y="0"/>
            <wp:positionH relativeFrom="column">
              <wp:posOffset>965200</wp:posOffset>
            </wp:positionH>
            <wp:positionV relativeFrom="line">
              <wp:posOffset>1270</wp:posOffset>
            </wp:positionV>
            <wp:extent cx="4335780" cy="2339340"/>
            <wp:wrapTopAndBottom/>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7"/>
                    <a:stretch>
                      <a:fillRect/>
                    </a:stretch>
                  </pic:blipFill>
                  <pic:spPr>
                    <a:xfrm>
                      <a:off x="0" y="0"/>
                      <a:ext cx="4335780" cy="2339340"/>
                    </a:xfrm>
                    <a:prstGeom prst="rect">
                      <a:avLst/>
                    </a:prstGeom>
                  </pic:spPr>
                </pic:pic>
              </a:graphicData>
            </a:graphic>
          </wp:anchor>
        </w:drawing>
      </w:r>
    </w:p>
    <w:p>
      <w:pPr>
        <w:numPr>
          <w:ilvl w:val="2"/>
          <w:numId w:val="104"/>
        </w:numPr>
      </w:pPr>
      <w: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要件定義書記載項目（全体）</w:t>
      </w:r>
    </w:p>
    <w:p>
      <w:pPr>
        <w:numPr>
          <w:ilvl w:val="3"/>
          <w:numId w:val="104"/>
        </w:numPr>
      </w:pPr>
      <w:r>
        <w:t>Subtopic</w:t>
      </w:r>
    </w:p>
    <w:p>
      <w:pPr>
        <w:numPr>
          <w:ilvl w:val="0"/>
          <w:numId w:val="0"/>
        </w:numPr>
        <w:ind w:left="1520"/>
      </w:pPr>
    </w:p>
    <w:p>
      <w:pPr>
        <w:numPr>
          <w:ilvl w:val="0"/>
          <w:numId w:val="0"/>
        </w:numPr>
        <w:ind w:left="1520"/>
      </w:pPr>
      <w:r>
        <w:drawing>
          <wp:anchor simplePos="0" relativeHeight="251667456" behindDoc="0" locked="0" layoutInCell="1" allowOverlap="1">
            <wp:simplePos x="0" y="0"/>
            <wp:positionH relativeFrom="column">
              <wp:posOffset>965200</wp:posOffset>
            </wp:positionH>
            <wp:positionV relativeFrom="line">
              <wp:posOffset>1270</wp:posOffset>
            </wp:positionV>
            <wp:extent cx="4335780" cy="2247900"/>
            <wp:wrapTopAndBottom/>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8"/>
                    <a:stretch>
                      <a:fillRect/>
                    </a:stretch>
                  </pic:blipFill>
                  <pic:spPr>
                    <a:xfrm>
                      <a:off x="0" y="0"/>
                      <a:ext cx="4335780" cy="2247900"/>
                    </a:xfrm>
                    <a:prstGeom prst="rect">
                      <a:avLst/>
                    </a:prstGeom>
                  </pic:spPr>
                </pic:pic>
              </a:graphicData>
            </a:graphic>
          </wp:anchor>
        </w:drawing>
      </w:r>
    </w:p>
    <w:p>
      <w:pPr>
        <w:numPr>
          <w:ilvl w:val="2"/>
          <w:numId w:val="104"/>
        </w:numPr>
      </w:pPr>
      <w: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要件定義書記載項目（業務要件）</w:t>
      </w:r>
    </w:p>
    <w:p>
      <w:pPr>
        <w:numPr>
          <w:ilvl w:val="3"/>
          <w:numId w:val="104"/>
        </w:numPr>
      </w:pPr>
      <w:r>
        <w:t>Subtopic</w:t>
      </w:r>
    </w:p>
    <w:p>
      <w:pPr>
        <w:numPr>
          <w:ilvl w:val="0"/>
          <w:numId w:val="0"/>
        </w:numPr>
        <w:ind w:left="1520"/>
      </w:pPr>
    </w:p>
    <w:p>
      <w:pPr>
        <w:numPr>
          <w:ilvl w:val="0"/>
          <w:numId w:val="0"/>
        </w:numPr>
        <w:ind w:left="1520"/>
      </w:pPr>
      <w:r>
        <w:drawing>
          <wp:anchor simplePos="0" relativeHeight="251668480" behindDoc="0" locked="0" layoutInCell="1" allowOverlap="1">
            <wp:simplePos x="0" y="0"/>
            <wp:positionH relativeFrom="column">
              <wp:posOffset>965200</wp:posOffset>
            </wp:positionH>
            <wp:positionV relativeFrom="line">
              <wp:posOffset>1270</wp:posOffset>
            </wp:positionV>
            <wp:extent cx="4335780" cy="2392680"/>
            <wp:wrapTopAndBottom/>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19"/>
                    <a:stretch>
                      <a:fillRect/>
                    </a:stretch>
                  </pic:blipFill>
                  <pic:spPr>
                    <a:xfrm>
                      <a:off x="0" y="0"/>
                      <a:ext cx="4335780" cy="239268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参考資料</w:t>
      </w:r>
    </w:p>
    <w:p>
      <w:pPr>
        <w:numPr>
          <w:ilvl w:val="2"/>
          <w:numId w:val="104"/>
        </w:numPr>
      </w:pPr>
      <w:r>
        <w:drawing>
          <wp:inline>
            <wp:extent cx="127000" cy="1270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政府情報システムの整備及び管理に関する標準ガイドライン</w:t>
      </w:r>
    </w:p>
    <w:p>
      <w:pPr>
        <w:numPr>
          <w:ilvl w:val="3"/>
          <w:numId w:val="104"/>
        </w:numPr>
      </w:pPr>
      <w:r>
        <w:t>政府情報システムの整備及び管理に関する標準ガイドライン</w:t>
      </w:r>
    </w:p>
    <w:p>
      <w:pPr>
        <w:numPr>
          <w:ilvl w:val="0"/>
          <w:numId w:val="0"/>
        </w:numPr>
        <w:ind w:left="1520"/>
      </w:pPr>
    </w:p>
    <w:p>
      <w:pPr>
        <w:numPr>
          <w:ilvl w:val="0"/>
          <w:numId w:val="0"/>
        </w:numPr>
        <w:ind w:left="1628"/>
        <w:rPr>
          <w:color w:val="auto"/>
          <w:u w:val="none"/>
        </w:rPr>
      </w:pPr>
      <w:hyperlink r:id="rId20" w:history="1">
        <w:r>
          <w:rPr>
            <w:rStyle w:val="Hyperlink"/>
            <w:color w:val="0000FF"/>
            <w:u w:val="single"/>
          </w:rPr>
          <w:t>http://www.soumu.go.jp/main_content/000348138.docx</w:t>
        </w:r>
      </w:hyperlink>
      <w:r>
        <w:rPr>
          <w:color w:val="auto"/>
          <w:u w:val="none"/>
        </w:rPr>
        <w:t xml:space="preserve">; </w:t>
      </w:r>
    </w:p>
    <w:p>
      <w:pPr>
        <w:numPr>
          <w:ilvl w:val="0"/>
          <w:numId w:val="0"/>
        </w:numPr>
        <w:ind w:left="1520"/>
      </w:pPr>
    </w:p>
    <w:p>
      <w:pPr>
        <w:numPr>
          <w:ilvl w:val="3"/>
          <w:numId w:val="104"/>
        </w:numPr>
      </w:pPr>
      <w:r>
        <w:t>政府情報システムの整備及び管理に関する標準ガイドライン（実務手引書）</w:t>
      </w:r>
    </w:p>
    <w:p>
      <w:pPr>
        <w:numPr>
          <w:ilvl w:val="0"/>
          <w:numId w:val="0"/>
        </w:numPr>
        <w:ind w:left="1520"/>
      </w:pPr>
    </w:p>
    <w:p>
      <w:pPr>
        <w:numPr>
          <w:ilvl w:val="0"/>
          <w:numId w:val="0"/>
        </w:numPr>
        <w:ind w:left="1628"/>
        <w:rPr>
          <w:color w:val="auto"/>
          <w:u w:val="none"/>
        </w:rPr>
      </w:pPr>
      <w:hyperlink r:id="rId21" w:history="1">
        <w:r>
          <w:rPr>
            <w:rStyle w:val="Hyperlink"/>
            <w:color w:val="0000FF"/>
            <w:u w:val="single"/>
          </w:rPr>
          <w:t>http://www.soumu.go.jp/main_content/000348369.pdf</w:t>
        </w:r>
      </w:hyperlink>
      <w:r>
        <w:rPr>
          <w:color w:val="auto"/>
          <w:u w:val="none"/>
        </w:rPr>
        <w:t xml:space="preserve">; </w:t>
      </w:r>
    </w:p>
    <w:p>
      <w:pPr>
        <w:numPr>
          <w:ilvl w:val="0"/>
          <w:numId w:val="0"/>
        </w:numPr>
        <w:ind w:left="1520"/>
      </w:pP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「知の共有化」等のデータサイエンス領域での要件</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システムで何ができるようにするのか（個別機能要件）</w:t>
      </w:r>
    </w:p>
    <w:p>
      <w:pPr>
        <w:numPr>
          <w:ilvl w:val="2"/>
          <w:numId w:val="104"/>
        </w:numPr>
      </w:pPr>
      <w:r>
        <w:drawing>
          <wp:inline>
            <wp:extent cx="127000" cy="1270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機能に関する事項では、</w:t>
      </w:r>
    </w:p>
    <w:p>
      <w:pPr>
        <w:numPr>
          <w:ilvl w:val="3"/>
          <w:numId w:val="104"/>
        </w:numPr>
      </w:pPr>
      <w:r>
        <w:t>①アーカイブ化機能として、 メタデータ、 画像データの登録・変更・公開機能、 AIを活用したレファレンスに必要な情報の蓄積機能、</w:t>
      </w:r>
    </w:p>
    <w:p>
      <w:pPr>
        <w:numPr>
          <w:ilvl w:val="3"/>
          <w:numId w:val="104"/>
        </w:numPr>
      </w:pPr>
      <w:r>
        <w:t>②サービス提供機能として、 利用者に効率的で快適な体験を提供する カスタマーエクスペリエンス（CX）デザイン思考での サービスを実現するユーザインタフェース、 内部処理機能、 外部サービスとの連携など</w:t>
      </w:r>
    </w:p>
    <w:p>
      <w:pPr>
        <w:numPr>
          <w:ilvl w:val="3"/>
          <w:numId w:val="104"/>
        </w:numPr>
      </w:pPr>
      <w:r>
        <w:t>の要求要件を明確にする必要がある。</w:t>
      </w:r>
    </w:p>
    <w:p>
      <w:pPr>
        <w:numPr>
          <w:ilvl w:val="2"/>
          <w:numId w:val="104"/>
        </w:numPr>
      </w:pPr>
      <w:r>
        <w:drawing>
          <wp:inline>
            <wp:extent cx="127000" cy="127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特に、 AIを活用できる外部サービスを利用することとして、</w:t>
      </w:r>
    </w:p>
    <w:p>
      <w:pPr>
        <w:numPr>
          <w:ilvl w:val="3"/>
          <w:numId w:val="104"/>
        </w:numPr>
      </w:pPr>
      <w:r>
        <w:t>音声の自然言語による入出力、 知識として学習の効率を高めるための教師データの選択、 教師データを最適に学習できる機械学習APIを持つ AI処理モジュールの選択が重要である。</w:t>
      </w:r>
    </w:p>
    <w:p>
      <w:pPr>
        <w:numPr>
          <w:ilvl w:val="3"/>
          <w:numId w:val="104"/>
        </w:numPr>
      </w:pPr>
      <w:r>
        <w:t>それにより、 従来からのレファレンスの回答として、 参考になる資料の選択と、 その資料の所在情報の提示だけでなく、 答えそのものの検索（事実検索）が可能になる。</w:t>
      </w:r>
    </w:p>
    <w:p>
      <w:pPr>
        <w:numPr>
          <w:ilvl w:val="3"/>
          <w:numId w:val="104"/>
        </w:numPr>
      </w:pPr>
      <w:r>
        <w:t>現在もスマートフォン等で利用可能になっているGoogle Assistant、 Apple Siri、 Microsoft Cortana、 Amazon Alexa、 IBM Watson等の知識にデジタルアーカイブ機関が組織化して 保有した情報が知識として蓄積されていれば、 より的確の事実検索が可能になり、 この外部サービスのAPIを利用することにより、 アーカイブ機関でのAIを活用したサービスの構築が効率化する。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どのようなデジタルコンテンツを用意するか（コンテンツ構築要件）</w:t>
      </w:r>
    </w:p>
    <w:p>
      <w:pPr>
        <w:numPr>
          <w:ilvl w:val="2"/>
          <w:numId w:val="104"/>
        </w:numPr>
      </w:pPr>
      <w:r>
        <w:drawing>
          <wp:inline>
            <wp:extent cx="127000" cy="127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アーカイブ機関がデジタルコンテンツとして構築する コンテンツの要件も明確にして、</w:t>
      </w:r>
    </w:p>
    <w:p>
      <w:pPr>
        <w:numPr>
          <w:ilvl w:val="3"/>
          <w:numId w:val="104"/>
        </w:numPr>
      </w:pPr>
      <w:r>
        <w:t>①二次情報としての蓄積情報・データに関する事項である、 永続的識別子、 メタデータ、 目次・索引データ、 関連データ、</w:t>
      </w:r>
    </w:p>
    <w:p>
      <w:pPr>
        <w:numPr>
          <w:ilvl w:val="3"/>
          <w:numId w:val="104"/>
        </w:numPr>
      </w:pPr>
      <w:r>
        <w:t>②一次情報としてのコンテンツそのものである、 動画、 音声、 画像データ、 全文テキストデータ、</w:t>
      </w:r>
    </w:p>
    <w:p>
      <w:pPr>
        <w:numPr>
          <w:ilvl w:val="3"/>
          <w:numId w:val="104"/>
        </w:numPr>
      </w:pPr>
      <w:r>
        <w:t>更にIoT等からの収集データ等が 他のアーカイブ機関のコンテンツと合わせて、 ビッグデータとして利活用しやすいようにするために、 より一層の共通的な仕様を適用し、 AIでの活用を加速させる。</w:t>
      </w:r>
    </w:p>
    <w:p>
      <w:pPr>
        <w:numPr>
          <w:ilvl w:val="2"/>
          <w:numId w:val="104"/>
        </w:numPr>
      </w:pPr>
      <w:r>
        <w:drawing>
          <wp:inline>
            <wp:extent cx="127000" cy="127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著作物の電子書籍化に関しては、</w:t>
      </w:r>
    </w:p>
    <w:p>
      <w:pPr>
        <w:numPr>
          <w:ilvl w:val="3"/>
          <w:numId w:val="104"/>
        </w:numPr>
      </w:pPr>
      <w:r>
        <w:t>原資料からのデジタル化（イメージ化、 テキスト化）と、 文献の作成段階からデジタル化され 電子書籍と印刷書籍が同時並行で進むものがあるが、 作成過程及び最終成果物の仕様を標準化することにより、 シングルソース・マルチユースが容易になり、 利用者の読書環境に応じて様々な形態で提供されることにより、 著作物の利活用が促進される。</w:t>
      </w:r>
    </w:p>
    <w:p>
      <w:pPr>
        <w:numPr>
          <w:ilvl w:val="3"/>
          <w:numId w:val="104"/>
        </w:numPr>
      </w:pPr>
      <w:r>
        <w:t>マスター原稿段階のXMLテキストを利用することにより、 構造化された知識として活用が容易になる。</w:t>
      </w:r>
    </w:p>
    <w:p>
      <w:pPr>
        <w:numPr>
          <w:ilvl w:val="4"/>
          <w:numId w:val="104"/>
        </w:numPr>
      </w:pPr>
      <w:r>
        <w:t>例えば、 平成28年度情報通信白書（総務省編）は、 マスター原稿から、 ページレイアウト固定版（PDF版）、 スマートフォン・PC・タブレット向けのリフロー版電子書籍（EPUB版）、 Webブラウザ版（html版）が用意されている。</w:t>
      </w:r>
    </w:p>
    <w:p>
      <w:pPr>
        <w:numPr>
          <w:ilvl w:val="2"/>
          <w:numId w:val="104"/>
        </w:numPr>
      </w:pPr>
      <w:r>
        <w:drawing>
          <wp:inline>
            <wp:extent cx="127000" cy="1270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現時点でのシングルソースとしてのマスター原稿段階では、</w:t>
      </w:r>
    </w:p>
    <w:p>
      <w:pPr>
        <w:numPr>
          <w:ilvl w:val="3"/>
          <w:numId w:val="104"/>
        </w:numPr>
      </w:pPr>
      <w:r>
        <w:t>章節項、 目次、 索引、 引用等の構造を明示するXSLが適用されたXMLテキストとし、 電子書籍化する場合は、 様々な閲覧環境に最適な書式とできるように、 html5+CSS3をベースとしたEPUB3.1の仕様を適用する。</w:t>
      </w:r>
    </w:p>
    <w:p>
      <w:pPr>
        <w:numPr>
          <w:ilvl w:val="2"/>
          <w:numId w:val="104"/>
        </w:numPr>
      </w:pPr>
      <w:r>
        <w:drawing>
          <wp:inline>
            <wp:extent cx="127000" cy="127000"/>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t xml:space="preserve"> </w:t>
      </w:r>
      <w:r>
        <w:t>AIシステムの教師データ付き学習データとしては、</w:t>
      </w:r>
    </w:p>
    <w:p>
      <w:pPr>
        <w:numPr>
          <w:ilvl w:val="0"/>
          <w:numId w:val="0"/>
        </w:numPr>
        <w:ind w:left="0"/>
        <w:sectPr w:rsidSect="00F019F0">
          <w:headerReference w:type="even" r:id="rId22"/>
          <w:headerReference w:type="default" r:id="rId23"/>
          <w:footerReference w:type="even" r:id="rId24"/>
          <w:footerReference w:type="default" r:id="rId25"/>
          <w:headerReference w:type="first" r:id="rId26"/>
          <w:footerReference w:type="first" r:id="rId27"/>
          <w:pgSz w:w="11906" w:h="16838" w:code="9"/>
          <w:pgMar w:top="1418" w:right="1701" w:bottom="1134" w:left="1701" w:header="851" w:footer="992" w:gutter="0"/>
          <w:cols w:space="104"/>
          <w:docGrid w:type="lines" w:linePitch="360"/>
        </w:sectPr>
      </w:pPr>
    </w:p>
    <w:p/>
    <w:sectPr w:rsidSect="00DC121D">
      <w:footerReference w:type="even" r:id="rId28"/>
      <w:footerReference w:type="default" r:id="rId29"/>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12</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hyperlink" Target="http://www.soumu.go.jp/main_content/000348138.docx" TargetMode="External" /><Relationship Id="rId21" Type="http://schemas.openxmlformats.org/officeDocument/2006/relationships/hyperlink" Target="http://www.soumu.go.jp/main_content/000348369.pdf" TargetMode="External" /><Relationship Id="rId22" Type="http://schemas.openxmlformats.org/officeDocument/2006/relationships/header" Target="header1.xml" /><Relationship Id="rId23" Type="http://schemas.openxmlformats.org/officeDocument/2006/relationships/header" Target="header2.xml" /><Relationship Id="rId24" Type="http://schemas.openxmlformats.org/officeDocument/2006/relationships/footer" Target="footer1.xml" /><Relationship Id="rId25" Type="http://schemas.openxmlformats.org/officeDocument/2006/relationships/footer" Target="footer2.xml" /><Relationship Id="rId26" Type="http://schemas.openxmlformats.org/officeDocument/2006/relationships/header" Target="header3.xml" /><Relationship Id="rId27" Type="http://schemas.openxmlformats.org/officeDocument/2006/relationships/footer" Target="footer3.xml" /><Relationship Id="rId28" Type="http://schemas.openxmlformats.org/officeDocument/2006/relationships/footer" Target="footer4.xml" /><Relationship Id="rId29" Type="http://schemas.openxmlformats.org/officeDocument/2006/relationships/footer" Target="footer5.xml" /><Relationship Id="rId3" Type="http://schemas.openxmlformats.org/officeDocument/2006/relationships/fontTable" Target="fontTable.xml" /><Relationship Id="rId30" Type="http://schemas.openxmlformats.org/officeDocument/2006/relationships/theme" Target="theme/theme1.xml" /><Relationship Id="rId31" Type="http://schemas.openxmlformats.org/officeDocument/2006/relationships/numbering" Target="numbering.xml" /><Relationship Id="rId32"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12</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