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Sec01-01-04-list_Web版追補および解説候補</w:t>
      </w:r>
    </w:p>
    <w:p>
      <w:pPr>
        <w:pStyle w:val="Heading2"/>
        <w:numPr>
          <w:ilvl w:val="1"/>
          <w:numId w:val="104"/>
        </w:numPr>
      </w:pPr>
      <w:r>
        <w:t>概要</w:t>
      </w:r>
    </w:p>
    <w:p>
      <w:pPr>
        <w:numPr>
          <w:ilvl w:val="2"/>
          <w:numId w:val="104"/>
        </w:numPr>
      </w:pPr>
      <w:r>
        <w:t>改版履歴</w:t>
      </w:r>
    </w:p>
    <w:p>
      <w:pPr>
        <w:numPr>
          <w:ilvl w:val="3"/>
          <w:numId w:val="104"/>
        </w:numPr>
      </w:pPr>
      <w:r>
        <w:t>2021年5月25日_仕掛かり分チェック</w:t>
      </w:r>
    </w:p>
    <w:p>
      <w:pPr>
        <w:numPr>
          <w:ilvl w:val="3"/>
          <w:numId w:val="104"/>
        </w:numPr>
      </w:pPr>
      <w:r>
        <w:t>2021年5月13日_全編にわたってリストアップ</w:t>
      </w:r>
    </w:p>
    <w:p>
      <w:pPr>
        <w:numPr>
          <w:ilvl w:val="2"/>
          <w:numId w:val="104"/>
        </w:numPr>
      </w:pPr>
      <w:r>
        <w:t>アイコン凡例</w:t>
      </w:r>
    </w:p>
    <w:p>
      <w:pPr>
        <w:numPr>
          <w:ilvl w:val="3"/>
          <w:numId w:val="104"/>
        </w:numPr>
      </w:pPr>
      <w: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Web版に追補する候補</w:t>
      </w:r>
    </w:p>
    <w:p>
      <w:pPr>
        <w:numPr>
          <w:ilvl w:val="3"/>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執筆中、仕掛かり中</w:t>
      </w:r>
    </w:p>
    <w:p>
      <w:pPr>
        <w:numPr>
          <w:ilvl w:val="3"/>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冊子体追記候補</w:t>
      </w:r>
    </w:p>
    <w:p>
      <w:pPr>
        <w:numPr>
          <w:ilvl w:val="3"/>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r>
        <w:t xml:space="preserve"> </w:t>
      </w:r>
      <w:r>
        <w:t>担当</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Mission1</w:t>
      </w:r>
    </w:p>
    <w:p>
      <w:pPr>
        <w:numPr>
          <w:ilvl w:val="2"/>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1-3：Webサービスからの個人情報窃取</w:t>
      </w:r>
    </w:p>
    <w:p>
      <w:pPr>
        <w:numPr>
          <w:ilvl w:val="3"/>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【Web版Appendix】I本人に認証サービス（３Dセキュア）クレジットカードの認証方式を追加</w:t>
      </w:r>
    </w:p>
    <w:p>
      <w:pPr>
        <w:numPr>
          <w:ilvl w:val="4"/>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【Web版Appendｘ引用先】割賦販売法の改定とクレジットカードのセキュリティ「改正割賦販売法について」PD経済産業省　商取引監督課２０１８年４月</w:t>
      </w:r>
    </w:p>
    <w:p>
      <w:pPr>
        <w:numPr>
          <w:ilvl w:val="4"/>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https://www.caa.go.jp/policies/policy/local_cooperation/local_consumer_administration/meeting_001/pdf/meeting_001_180419_0017.pdf</w:t>
      </w:r>
    </w:p>
    <w:p>
      <w:pPr>
        <w:numPr>
          <w:ilvl w:val="2"/>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1-4：集中アクセスによるサービス停止</w:t>
      </w:r>
    </w:p>
    <w:p>
      <w:pPr>
        <w:numPr>
          <w:ilvl w:val="3"/>
          <w:numId w:val="104"/>
        </w:numPr>
      </w:pP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【Web版Appendix】集中アクセスによるサービス停止　「コラム」中小企業DDos攻撃の被害事例</w:t>
      </w:r>
    </w:p>
    <w:p>
      <w:pPr>
        <w:numPr>
          <w:ilvl w:val="4"/>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事例ー＞DDosの攻撃内容の説明に大規模で巧妙なDDos攻撃の増加傾向に懸念アカマイ、短期間で2度の大規模DDos攻撃を緩和事例を分かりやすく追加Akamai (アカマイ) Web セキュリテ</w:t>
      </w:r>
    </w:p>
    <w:p>
      <w:pPr>
        <w:numPr>
          <w:ilvl w:val="4"/>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https://www.lac.co.jp/service/product/akamai.html</w:t>
      </w:r>
    </w:p>
    <w:p>
      <w:pPr>
        <w:numPr>
          <w:ilvl w:val="2"/>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1-6：Webサイトの改ざん</w:t>
      </w:r>
    </w:p>
    <w:p>
      <w:pPr>
        <w:numPr>
          <w:ilvl w:val="3"/>
          <w:numId w:val="104"/>
        </w:numPr>
      </w:pP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【Web版Update】ECサイトの脆弱性をついた事案も発生</w:t>
      </w:r>
    </w:p>
    <w:p>
      <w:pPr>
        <w:numPr>
          <w:ilvl w:val="4"/>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経済産業省によると、＜ー正式な引用元が欠如している</w:t>
      </w:r>
    </w:p>
    <w:p>
      <w:pPr>
        <w:numPr>
          <w:ilvl w:val="2"/>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1-7:インターネットバンキングの不正送金</w:t>
      </w:r>
    </w:p>
    <w:p>
      <w:pPr>
        <w:numPr>
          <w:ilvl w:val="3"/>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【Web版Appendix】詐欺サイトもSSL化が当たり前　フィツシング詐欺被害回避の方法</w:t>
      </w:r>
    </w:p>
    <w:p>
      <w:pPr>
        <w:numPr>
          <w:ilvl w:val="4"/>
          <w:numId w:val="104"/>
        </w:numPr>
      </w:pP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ラック株式会社</w:t>
      </w:r>
    </w:p>
    <w:p>
      <w:pPr>
        <w:numPr>
          <w:ilvl w:val="2"/>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1-10：Webサービスへの不正ログイン</w:t>
      </w:r>
    </w:p>
    <w:p>
      <w:pPr>
        <w:numPr>
          <w:ilvl w:val="3"/>
          <w:numId w:val="104"/>
        </w:numPr>
      </w:pP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【Web版Appendix】IDと認証セキュリティ</w:t>
      </w:r>
    </w:p>
    <w:p>
      <w:pPr>
        <w:numPr>
          <w:ilvl w:val="2"/>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1-12：IoT機器を踏み台にした攻撃</w:t>
      </w:r>
    </w:p>
    <w:p>
      <w:pPr>
        <w:numPr>
          <w:ilvl w:val="3"/>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【Web版Appendix】NICT「NOTICE」の実証事例の結果</w:t>
      </w:r>
    </w:p>
    <w:p>
      <w:pPr>
        <w:numPr>
          <w:ilvl w:val="2"/>
          <w:numId w:val="104"/>
        </w:numPr>
      </w:pP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1-13：中小企業におけるサイバー攻撃被害の例</w:t>
      </w:r>
    </w:p>
    <w:p>
      <w:pPr>
        <w:numPr>
          <w:ilvl w:val="3"/>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【Web版Appendix】POINT２中小企業を含んだサプライチェーンが狙われている</w:t>
      </w:r>
    </w:p>
    <w:p>
      <w:pPr>
        <w:numPr>
          <w:ilvl w:val="4"/>
          <w:numId w:val="104"/>
        </w:numPr>
      </w:pPr>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＜ーサプライチェーンセキュリティの必要性を追加又は主要な参考文書引用先を例示</w:t>
      </w:r>
    </w:p>
    <w:p>
      <w:pPr>
        <w:numPr>
          <w:ilvl w:val="4"/>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サプライチェーンセキュリティの必要性</w:t>
      </w:r>
    </w:p>
    <w:p>
      <w:pPr>
        <w:numPr>
          <w:ilvl w:val="4"/>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サイバーセキュリティ経営ガイドラインの改定ポイント 経済産業省商務情報政策局サイバーセキュリティ課</w:t>
      </w:r>
    </w:p>
    <w:p>
      <w:pPr>
        <w:numPr>
          <w:ilvl w:val="4"/>
          <w:numId w:val="104"/>
        </w:numPr>
      </w:pPr>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https://www.meti.go.jp/policy/netsecurity/downloadfiles/overview.pdf</w:t>
      </w:r>
    </w:p>
    <w:p>
      <w:pPr>
        <w:numPr>
          <w:ilvl w:val="4"/>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IPA　NIST関連文書 https://www.ipa.go.jp/security/publications/nist/</w:t>
      </w:r>
    </w:p>
    <w:p>
      <w:pPr>
        <w:numPr>
          <w:ilvl w:val="4"/>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NIST　SP800-171連邦政府外のシステムと組織における管理された非格付け情報の保護</w:t>
      </w:r>
    </w:p>
    <w:p>
      <w:pPr>
        <w:numPr>
          <w:ilvl w:val="5"/>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Protecting Controlled Unclassified Information in Nonfederal Systems</w:t>
      </w:r>
    </w:p>
    <w:p>
      <w:pPr>
        <w:numPr>
          <w:ilvl w:val="3"/>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【Web版Appendix】サプライチェーンの情報セキュリティマネジメント IS02703, NIST_SP800-61（サプライチェーンマネージメント）</w:t>
      </w:r>
    </w:p>
    <w:p>
      <w:pPr>
        <w:numPr>
          <w:ilvl w:val="2"/>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1-14：ビジネスメール詐欺（BEC)に注意</w:t>
      </w:r>
    </w:p>
    <w:p>
      <w:pPr>
        <w:numPr>
          <w:ilvl w:val="3"/>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【Web版Appendix】トレンドマイクロ　「ビジネスメール詐欺の被害に遭わないために、知って知っておくべき兆候をBEC被害の事例（具体的）に追加</w:t>
      </w:r>
    </w:p>
    <w:p>
      <w:pPr>
        <w:numPr>
          <w:ilvl w:val="4"/>
          <w:numId w:val="104"/>
        </w:numPr>
      </w:pPr>
      <w: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https://blog.trendmicro.co.jp/archives/tag/bec</w:t>
      </w:r>
    </w:p>
    <w:p>
      <w:pPr>
        <w:numPr>
          <w:ilvl w:val="3"/>
          <w:numId w:val="104"/>
        </w:numPr>
      </w:pPr>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【Web版Appendix】ビジネスメール詐欺の被害」と回避策</w:t>
      </w:r>
    </w:p>
    <w:p>
      <w:pPr>
        <w:numPr>
          <w:ilvl w:val="4"/>
          <w:numId w:val="104"/>
        </w:numPr>
      </w:pPr>
      <w: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法人間の外国送金の資金をだまし取る詐欺にご注意追加　(BEC (Business E-mail Compromise) / foreign remittance fraud）</w:t>
      </w:r>
    </w:p>
    <w:p>
      <w:pPr>
        <w:numPr>
          <w:ilvl w:val="5"/>
          <w:numId w:val="104"/>
        </w:numPr>
      </w:pPr>
      <w: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全国社団法人全国銀行協会</w:t>
      </w:r>
    </w:p>
    <w:p>
      <w:pPr>
        <w:numPr>
          <w:ilvl w:val="5"/>
          <w:numId w:val="104"/>
        </w:numPr>
      </w:pPr>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https://www.zenginkyo.or.jp/topic/detail/nid/3561/</w:t>
      </w:r>
    </w:p>
    <w:p>
      <w:pPr>
        <w:numPr>
          <w:ilvl w:val="5"/>
          <w:numId w:val="104"/>
        </w:numPr>
      </w:pPr>
      <w: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・発生している事案</w:t>
      </w:r>
    </w:p>
    <w:p>
      <w:pPr>
        <w:numPr>
          <w:ilvl w:val="5"/>
          <w:numId w:val="104"/>
        </w:numPr>
      </w:pPr>
      <w: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・法人に対する対策事例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Mission2</w:t>
      </w:r>
    </w:p>
    <w:p>
      <w:pPr>
        <w:numPr>
          <w:ilvl w:val="2"/>
          <w:numId w:val="104"/>
        </w:numPr>
      </w:pPr>
      <w: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2-8：テレワーク等での持ち出し・持ち込み機器対策</w:t>
      </w:r>
    </w:p>
    <w:p>
      <w:pPr>
        <w:numPr>
          <w:ilvl w:val="3"/>
          <w:numId w:val="104"/>
        </w:numPr>
      </w:pPr>
      <w: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【Web版Appendix】VPNの脆弱性攻撃増加　テレワーク認証情報搾取</w:t>
      </w:r>
    </w:p>
    <w:p>
      <w:pPr>
        <w:numPr>
          <w:ilvl w:val="2"/>
          <w:numId w:val="104"/>
        </w:numPr>
      </w:pPr>
      <w: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2-9：電子メールの安全利用</w:t>
      </w:r>
    </w:p>
    <w:p>
      <w:pPr>
        <w:numPr>
          <w:ilvl w:val="3"/>
          <w:numId w:val="104"/>
        </w:numPr>
      </w:pPr>
      <w: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【Web版Appendix】＜電子メールのなりすまし対策＞</w:t>
      </w:r>
    </w:p>
    <w:p>
      <w:pPr>
        <w:numPr>
          <w:ilvl w:val="4"/>
          <w:numId w:val="104"/>
        </w:numPr>
      </w:pPr>
      <w: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SPF送信電子メール認証のイメージ図を追加する</w:t>
      </w:r>
    </w:p>
    <w:p>
      <w:pPr>
        <w:numPr>
          <w:ilvl w:val="2"/>
          <w:numId w:val="104"/>
        </w:numPr>
      </w:pPr>
      <w: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2-10：標的型攻撃メールへの対応</w:t>
      </w:r>
    </w:p>
    <w:p>
      <w:pPr>
        <w:numPr>
          <w:ilvl w:val="3"/>
          <w:numId w:val="104"/>
        </w:numPr>
      </w:pPr>
      <w: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【Web版Appendix】巧妙な標的型攻撃メール事例</w:t>
      </w:r>
    </w:p>
    <w:p>
      <w:pPr>
        <w:numPr>
          <w:ilvl w:val="3"/>
          <w:numId w:val="104"/>
        </w:numPr>
      </w:pPr>
      <w: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【Web版Appendix】Emotetからの攻撃も含まれる事例（JPCERT/CC）</w:t>
      </w:r>
    </w:p>
    <w:p>
      <w:pPr>
        <w:numPr>
          <w:ilvl w:val="3"/>
          <w:numId w:val="104"/>
        </w:numPr>
      </w:pPr>
      <w: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【Web版Appendix】IceIDウイルスダンローダ</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Mission3</w:t>
      </w:r>
    </w:p>
    <w:p>
      <w:pPr>
        <w:numPr>
          <w:ilvl w:val="2"/>
          <w:numId w:val="104"/>
        </w:numPr>
      </w:pPr>
      <w: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3-1：サイバーセキュリティ対策が経営に与える重大な影響</w:t>
      </w:r>
    </w:p>
    <w:p>
      <w:pPr>
        <w:numPr>
          <w:ilvl w:val="3"/>
          <w:numId w:val="104"/>
        </w:numPr>
      </w:pPr>
      <w: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【Web版Appendix】MDM（Mobile Device Management）</w:t>
      </w:r>
    </w:p>
    <w:p>
      <w:pPr>
        <w:numPr>
          <w:ilvl w:val="4"/>
          <w:numId w:val="104"/>
        </w:numPr>
      </w:pPr>
      <w:r>
        <w:drawing>
          <wp:inline>
            <wp:extent cx="127000" cy="1270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ビジネスで使用するスマートフォンなどのモバイルデバイスの、システム設定などを統合的・効率的に管理する手法。</w:t>
      </w:r>
    </w:p>
    <w:p>
      <w:pPr>
        <w:numPr>
          <w:ilvl w:val="2"/>
          <w:numId w:val="104"/>
        </w:numPr>
      </w:pPr>
      <w: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3-3：経営者に問われる責任</w:t>
      </w:r>
    </w:p>
    <w:p>
      <w:pPr>
        <w:numPr>
          <w:ilvl w:val="3"/>
          <w:numId w:val="104"/>
        </w:numPr>
      </w:pPr>
      <w: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【Web版Appendix】組織の姿勢3分類(企業経営のためのサイバーセキュリティの考え方の策定について（2016年8月2日）【NISC】より)</w:t>
      </w:r>
    </w:p>
    <w:p>
      <w:pPr>
        <w:numPr>
          <w:ilvl w:val="2"/>
          <w:numId w:val="104"/>
        </w:numPr>
      </w:pPr>
      <w: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3-5：ITの活用診断</w:t>
      </w:r>
    </w:p>
    <w:p>
      <w:pPr>
        <w:numPr>
          <w:ilvl w:val="3"/>
          <w:numId w:val="104"/>
        </w:numPr>
      </w:pPr>
      <w: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【Web版Appendix】視点6分類</w:t>
      </w:r>
    </w:p>
    <w:p>
      <w:pPr>
        <w:numPr>
          <w:ilvl w:val="2"/>
          <w:numId w:val="104"/>
        </w:numPr>
      </w:pPr>
      <w: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3-6：サイバーセキュリティ対策診断</w:t>
      </w:r>
    </w:p>
    <w:p>
      <w:pPr>
        <w:numPr>
          <w:ilvl w:val="3"/>
          <w:numId w:val="104"/>
        </w:numPr>
      </w:pPr>
      <w:r>
        <w:drawing>
          <wp:inline>
            <wp:extent cx="127000" cy="1270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【Web版Appendix】費用対効果</w:t>
      </w:r>
    </w:p>
    <w:p>
      <w:pPr>
        <w:numPr>
          <w:ilvl w:val="3"/>
          <w:numId w:val="104"/>
        </w:numPr>
      </w:pPr>
      <w: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【Web版Appendix】セキュリティ診断Toolの紹介（ペネトレーションテストを含む）</w:t>
      </w:r>
    </w:p>
    <w:p>
      <w:pPr>
        <w:numPr>
          <w:ilvl w:val="2"/>
          <w:numId w:val="104"/>
        </w:numPr>
      </w:pPr>
      <w: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3-8：業務の効率化、 サービスの維持のために</w:t>
      </w:r>
    </w:p>
    <w:p>
      <w:pPr>
        <w:numPr>
          <w:ilvl w:val="3"/>
          <w:numId w:val="104"/>
        </w:numPr>
      </w:pPr>
      <w: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【Web版Appendix】ITを活用したサービスの構築・運用に掛かる費用は、 経費ではなく先行投資</w:t>
      </w:r>
    </w:p>
    <w:p>
      <w:pPr>
        <w:numPr>
          <w:ilvl w:val="3"/>
          <w:numId w:val="104"/>
        </w:numPr>
      </w:pPr>
      <w: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【Web版Appendix】生産性向上のための「デジタル・ワークプレイス」</w:t>
      </w:r>
    </w:p>
    <w:p>
      <w:pPr>
        <w:numPr>
          <w:ilvl w:val="3"/>
          <w:numId w:val="104"/>
        </w:numPr>
      </w:pPr>
      <w: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【Web版Appendix】テレワークではじめる働き方改革</w:t>
      </w:r>
    </w:p>
    <w:p>
      <w:pPr>
        <w:numPr>
          <w:ilvl w:val="3"/>
          <w:numId w:val="104"/>
        </w:numPr>
      </w:pPr>
      <w: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【Web版Appendix】テレワークでのクラウドサービス活用等（総務省テレワークガイド）</w:t>
      </w:r>
    </w:p>
    <w:p>
      <w:pPr>
        <w:numPr>
          <w:ilvl w:val="3"/>
          <w:numId w:val="104"/>
        </w:numPr>
      </w:pPr>
      <w: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 Web会議サービスを使用する際のセキュリティ注意事項</w:t>
      </w:r>
    </w:p>
    <w:p>
      <w:pPr>
        <w:numPr>
          <w:ilvl w:val="4"/>
          <w:numId w:val="104"/>
        </w:numPr>
      </w:pPr>
      <w: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クラウドIPA　情報セキュリティ対策</w:t>
      </w:r>
    </w:p>
    <w:p>
      <w:pPr>
        <w:numPr>
          <w:ilvl w:val="4"/>
          <w:numId w:val="104"/>
        </w:numPr>
      </w:pPr>
      <w: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https://www.ipa.go.jp/security/announce/webmeeting.html</w:t>
      </w:r>
    </w:p>
    <w:p>
      <w:pPr>
        <w:numPr>
          <w:ilvl w:val="2"/>
          <w:numId w:val="104"/>
        </w:numPr>
      </w:pPr>
      <w: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3-9：経営者が認識すべきサイバーセキュリティ経営の3原則</w:t>
      </w:r>
    </w:p>
    <w:p>
      <w:pPr>
        <w:numPr>
          <w:ilvl w:val="3"/>
          <w:numId w:val="104"/>
        </w:numPr>
      </w:pPr>
      <w: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【Web版Appendix】経営者として取り組むべき「重要7項目の取組」</w:t>
      </w:r>
    </w:p>
    <w:p>
      <w:pPr>
        <w:numPr>
          <w:ilvl w:val="2"/>
          <w:numId w:val="104"/>
        </w:numPr>
      </w:pPr>
      <w: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3-10：【経営者がやらなければならない】サイバーセキュリティ経営の重要10項目</w:t>
      </w:r>
    </w:p>
    <w:p>
      <w:pPr>
        <w:numPr>
          <w:ilvl w:val="3"/>
          <w:numId w:val="104"/>
        </w:numPr>
      </w:pPr>
      <w:r>
        <w:drawing>
          <wp:inline>
            <wp:extent cx="127000" cy="1270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【Web版Appendix】最近のサイバー攻撃の状況を踏まえ、経営者の皆様へサイバーセキュリティの取組の強化に関する注意喚起を行います【2020年12月18日METI】</w:t>
      </w:r>
    </w:p>
    <w:p>
      <w:pPr>
        <w:numPr>
          <w:ilvl w:val="3"/>
          <w:numId w:val="104"/>
        </w:numPr>
      </w:pPr>
      <w:r>
        <w:drawing>
          <wp:inline>
            <wp:extent cx="127000" cy="1270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【Web版Appendix】サイバーセキュリティ経営ガイドライン実践状況の可視化ツールの活用【2021年夏アップデート予定】</w:t>
      </w:r>
    </w:p>
    <w:p>
      <w:pPr>
        <w:numPr>
          <w:ilvl w:val="3"/>
          <w:numId w:val="104"/>
        </w:numPr>
      </w:pPr>
      <w: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【Web版Appendix】サイバーセキュリティ経営ガイドライン実践のためのプラクティス</w:t>
      </w:r>
    </w:p>
    <w:p>
      <w:pPr>
        <w:numPr>
          <w:ilvl w:val="2"/>
          <w:numId w:val="104"/>
        </w:numPr>
      </w:pPr>
      <w: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3-11：次世代技術を活用したビジネス展開</w:t>
      </w:r>
    </w:p>
    <w:p>
      <w:pPr>
        <w:numPr>
          <w:ilvl w:val="3"/>
          <w:numId w:val="104"/>
        </w:numPr>
      </w:pPr>
      <w: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【Web版Appendix】【解説】DX推進はビジネス飛躍のチャンス</w:t>
      </w:r>
    </w:p>
    <w:p>
      <w:pPr>
        <w:numPr>
          <w:ilvl w:val="3"/>
          <w:numId w:val="104"/>
        </w:numPr>
      </w:pPr>
      <w: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【Web版Appendix】「デジタルアーキテクチャ・デザインセンター（DADC）」の活動</w:t>
      </w:r>
    </w:p>
    <w:p>
      <w:pPr>
        <w:numPr>
          <w:ilvl w:val="3"/>
          <w:numId w:val="104"/>
        </w:numPr>
      </w:pPr>
      <w:r>
        <w:drawing>
          <wp:inline>
            <wp:extent cx="127000" cy="1270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【Web版Appendix】デジタルトランスフォーメーションの加速に向けた研究会の中間報告書『DXレポート2</w:t>
      </w:r>
    </w:p>
    <w:p>
      <w:pPr>
        <w:numPr>
          <w:ilvl w:val="3"/>
          <w:numId w:val="104"/>
        </w:numPr>
      </w:pPr>
      <w: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【Web版Appendix】企業経営のためのサイバーセキュリティの考え方の策定について【NISC】</w:t>
      </w:r>
    </w:p>
    <w:p>
      <w:pPr>
        <w:numPr>
          <w:ilvl w:val="3"/>
          <w:numId w:val="104"/>
        </w:numPr>
      </w:pPr>
      <w: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【Web版Appendix】次世代サービス、技術の利用に当たってのサイバーセキュリティ対策</w:t>
      </w:r>
    </w:p>
    <w:p>
      <w:pPr>
        <w:numPr>
          <w:ilvl w:val="3"/>
          <w:numId w:val="104"/>
        </w:numPr>
      </w:pPr>
      <w: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【Web版Appendix】DXレポート（ITシステム2025年の崖の克服</w:t>
      </w:r>
    </w:p>
    <w:p>
      <w:pPr>
        <w:numPr>
          <w:ilvl w:val="3"/>
          <w:numId w:val="104"/>
        </w:numPr>
      </w:pPr>
      <w: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【Web版Appendix】AIが人間をアシストする「インテリジェント・ワークプレイス」の活用におけるサイバーセキュリティ対策</w:t>
      </w:r>
    </w:p>
    <w:p>
      <w:pPr>
        <w:numPr>
          <w:ilvl w:val="3"/>
          <w:numId w:val="104"/>
        </w:numPr>
      </w:pPr>
      <w:r>
        <w:drawing>
          <wp:inline>
            <wp:extent cx="127000" cy="1270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【Web版Appendix】【参考情報】ITの最新トレンド</w:t>
      </w:r>
    </w:p>
    <w:p>
      <w:pPr>
        <w:numPr>
          <w:ilvl w:val="3"/>
          <w:numId w:val="104"/>
        </w:numPr>
      </w:pPr>
      <w:r>
        <w:drawing>
          <wp:inline>
            <wp:extent cx="127000" cy="1270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【Web版Appendix】IoTや5Gを活用した新規セキュリティビジネスの紹介</w:t>
      </w:r>
    </w:p>
    <w:p>
      <w:pPr>
        <w:numPr>
          <w:ilvl w:val="2"/>
          <w:numId w:val="104"/>
        </w:numPr>
      </w:pPr>
      <w:r>
        <w:drawing>
          <wp:inline>
            <wp:extent cx="127000" cy="1270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3-12：IoT、 ビッグデータ, AI、 ロボットの活用</w:t>
      </w:r>
    </w:p>
    <w:p>
      <w:pPr>
        <w:numPr>
          <w:ilvl w:val="3"/>
          <w:numId w:val="104"/>
        </w:numPr>
      </w:pPr>
      <w:r>
        <w:drawing>
          <wp:inline>
            <wp:extent cx="127000" cy="1270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【Web版Appendix】攻めのIT投資対応、Society5.0時代に必要なセキュリティ対策【要素別】</w:t>
      </w:r>
    </w:p>
    <w:p>
      <w:pPr>
        <w:numPr>
          <w:ilvl w:val="4"/>
          <w:numId w:val="104"/>
        </w:numPr>
      </w:pPr>
      <w:r>
        <w:drawing>
          <wp:inline>
            <wp:extent cx="127000" cy="1270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【Web版Appendix】IoT関連セキュリティ対応</w:t>
      </w:r>
    </w:p>
    <w:p>
      <w:pPr>
        <w:numPr>
          <w:ilvl w:val="4"/>
          <w:numId w:val="104"/>
        </w:numPr>
      </w:pPr>
      <w:r>
        <w:drawing>
          <wp:inline>
            <wp:extent cx="127000" cy="1270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【Web版Appendix】クラウドサービスとセキュリティ</w:t>
      </w:r>
    </w:p>
    <w:p>
      <w:pPr>
        <w:numPr>
          <w:ilvl w:val="4"/>
          <w:numId w:val="104"/>
        </w:numPr>
      </w:pPr>
      <w:r>
        <w:drawing>
          <wp:inline>
            <wp:extent cx="127000" cy="1270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【Web版Appendix】５Gセキュリティ対応</w:t>
      </w:r>
    </w:p>
    <w:p>
      <w:pPr>
        <w:numPr>
          <w:ilvl w:val="4"/>
          <w:numId w:val="104"/>
        </w:numPr>
      </w:pPr>
      <w:r>
        <w:drawing>
          <wp:inline>
            <wp:extent cx="127000" cy="1270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【Web版Appendix】BYODセキュリティ対応</w:t>
      </w:r>
    </w:p>
    <w:p>
      <w:pPr>
        <w:numPr>
          <w:ilvl w:val="2"/>
          <w:numId w:val="104"/>
        </w:numPr>
      </w:pPr>
      <w:r>
        <w:drawing>
          <wp:inline>
            <wp:extent cx="127000" cy="127000"/>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3-13：IoTが果たす役割と効果</w:t>
      </w:r>
    </w:p>
    <w:p>
      <w:pPr>
        <w:numPr>
          <w:ilvl w:val="2"/>
          <w:numId w:val="104"/>
        </w:numPr>
      </w:pPr>
      <w:r>
        <w:drawing>
          <wp:inline>
            <wp:extent cx="127000" cy="127000"/>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3-14：人工知能（AI）が果たす役割と効果</w:t>
      </w:r>
    </w:p>
    <w:p>
      <w:pPr>
        <w:numPr>
          <w:ilvl w:val="3"/>
          <w:numId w:val="104"/>
        </w:numPr>
      </w:pPr>
      <w:r>
        <w:drawing>
          <wp:inline>
            <wp:extent cx="127000" cy="127000"/>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【Web版Appendix】「AI白書」の要点</w:t>
      </w:r>
    </w:p>
    <w:p>
      <w:pPr>
        <w:numPr>
          <w:ilvl w:val="2"/>
          <w:numId w:val="104"/>
        </w:numPr>
      </w:pPr>
      <w:r>
        <w:drawing>
          <wp:inline>
            <wp:extent cx="127000" cy="127000"/>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3-15：IoTを活用する際のサイバーセキュリティ上の留意点</w:t>
      </w:r>
    </w:p>
    <w:p>
      <w:pPr>
        <w:numPr>
          <w:ilvl w:val="3"/>
          <w:numId w:val="104"/>
        </w:numPr>
      </w:pPr>
      <w:r>
        <w:drawing>
          <wp:inline>
            <wp:extent cx="127000" cy="127000"/>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【Web版Appendix】機器のサイバーセキュリティ確保のためのセキュリティ検証の手引き【2021年4月20日METI】</w:t>
      </w:r>
    </w:p>
    <w:p>
      <w:pPr>
        <w:numPr>
          <w:ilvl w:val="3"/>
          <w:numId w:val="104"/>
        </w:numPr>
      </w:pPr>
      <w:r>
        <w:drawing>
          <wp:inline>
            <wp:extent cx="127000" cy="127000"/>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【Web版Appendix】CMS認証　IEC63443認証　ISO 国際規格（ISO/IEC JTC 1）に提案し開発中</w:t>
      </w:r>
    </w:p>
    <w:p>
      <w:pPr>
        <w:numPr>
          <w:ilvl w:val="4"/>
          <w:numId w:val="104"/>
        </w:numPr>
      </w:pPr>
      <w:r>
        <w:drawing>
          <wp:inline>
            <wp:extent cx="127000" cy="127000"/>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ISO/IEC 27030（ITセキュリティ） 2018/4－</w:t>
      </w:r>
    </w:p>
    <w:p>
      <w:pPr>
        <w:numPr>
          <w:ilvl w:val="4"/>
          <w:numId w:val="104"/>
        </w:numPr>
      </w:pPr>
      <w:r>
        <w:drawing>
          <wp:inline>
            <wp:extent cx="127000" cy="127000"/>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 ISO/IEC 30147（IoT）</w:t>
      </w:r>
    </w:p>
    <w:p>
      <w:pPr>
        <w:numPr>
          <w:ilvl w:val="2"/>
          <w:numId w:val="104"/>
        </w:numPr>
      </w:pPr>
      <w:r>
        <w:drawing>
          <wp:inline>
            <wp:extent cx="127000" cy="127000"/>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3-16：IoTを活用する一般利用者のための基本ルール</w:t>
      </w:r>
    </w:p>
    <w:p>
      <w:pPr>
        <w:numPr>
          <w:ilvl w:val="3"/>
          <w:numId w:val="104"/>
        </w:numPr>
      </w:pPr>
      <w:r>
        <w:drawing>
          <wp:inline>
            <wp:extent cx="127000" cy="127000"/>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【Web版Appendix】IPA 安全安心なIoT実現に向けた重要ポイント</w:t>
      </w:r>
    </w:p>
    <w:p>
      <w:pPr>
        <w:numPr>
          <w:ilvl w:val="4"/>
          <w:numId w:val="104"/>
        </w:numPr>
      </w:pPr>
      <w:r>
        <w:drawing>
          <wp:inline>
            <wp:extent cx="127000" cy="127000"/>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～「つながる世界の開発指針」と関連ガイド活用のススメ</w:t>
      </w:r>
    </w:p>
    <w:p>
      <w:pPr>
        <w:numPr>
          <w:ilvl w:val="4"/>
          <w:numId w:val="104"/>
        </w:numPr>
      </w:pPr>
      <w:r>
        <w:drawing>
          <wp:inline>
            <wp:extent cx="127000" cy="127000"/>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https://www.ipa.go.jp/files/000073864.pdf</w:t>
      </w:r>
    </w:p>
    <w:p>
      <w:pPr>
        <w:numPr>
          <w:ilvl w:val="2"/>
          <w:numId w:val="104"/>
        </w:numPr>
      </w:pPr>
      <w:r>
        <w:drawing>
          <wp:inline>
            <wp:extent cx="127000" cy="127000"/>
            <wp:docPr id="100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【Web版Appendix】サイバー・フィジカル・セキュリティ対策フレームワーク対応</w:t>
      </w:r>
    </w:p>
    <w:p>
      <w:pPr>
        <w:numPr>
          <w:ilvl w:val="3"/>
          <w:numId w:val="104"/>
        </w:numPr>
      </w:pPr>
      <w:r>
        <w:drawing>
          <wp:inline>
            <wp:extent cx="127000" cy="127000"/>
            <wp:docPr id="100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【Web版Appendix】サイバー・フジカル・セキュリティ対策フレームワーク対応_NIST_SP800―161_サプライチェーンリスクマネージメント</w:t>
      </w:r>
    </w:p>
    <w:p>
      <w:pPr>
        <w:numPr>
          <w:ilvl w:val="3"/>
          <w:numId w:val="104"/>
        </w:numPr>
      </w:pPr>
      <w:r>
        <w:drawing>
          <wp:inline>
            <wp:extent cx="127000" cy="127000"/>
            <wp:docPr id="100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【Web版Appendix】サイバー・フィジカル・セキュリティ対策フレームワーク（CPSF）（2019年4月METI）対応</w:t>
      </w:r>
    </w:p>
    <w:p>
      <w:pPr>
        <w:numPr>
          <w:ilvl w:val="3"/>
          <w:numId w:val="104"/>
        </w:numPr>
      </w:pPr>
      <w:r>
        <w:drawing>
          <wp:inline>
            <wp:extent cx="127000" cy="127000"/>
            <wp:docPr id="100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【Web版Appendix】NIST SP800-171 「連邦政府外のシステムと組織における管理された非格付け情報の保護」 改訂Revishon2対応</w:t>
      </w:r>
    </w:p>
    <w:p>
      <w:pPr>
        <w:numPr>
          <w:ilvl w:val="4"/>
          <w:numId w:val="104"/>
        </w:numPr>
      </w:pPr>
      <w:r>
        <w:drawing>
          <wp:inline>
            <wp:extent cx="127000" cy="127000"/>
            <wp:docPr id="100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【Web版Appendix】NIST SP 800-171の要求事項と「サイバー・フィジカル・セキュリティ対策フレームワーク」との対応表</w:t>
      </w:r>
    </w:p>
    <w:p>
      <w:pPr>
        <w:numPr>
          <w:ilvl w:val="3"/>
          <w:numId w:val="104"/>
        </w:numPr>
      </w:pPr>
      <w:r>
        <w:drawing>
          <wp:inline>
            <wp:extent cx="127000" cy="127000"/>
            <wp:docPr id="100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【Web版Appendix】NIST SP800-53「連邦政府情報システムおよび連邦組織のためのセキュリティ管理策とプライバシー管理策」改訂Rev4.0対応</w:t>
      </w:r>
    </w:p>
    <w:p>
      <w:pPr>
        <w:numPr>
          <w:ilvl w:val="3"/>
          <w:numId w:val="104"/>
        </w:numPr>
      </w:pPr>
      <w:r>
        <w:drawing>
          <wp:inline>
            <wp:extent cx="127000" cy="127000"/>
            <wp:docPr id="100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【Web版Appendix】NIST SP800-53とNISTサイバ－セキュリティフレームワークの概要と利用方法</w:t>
      </w:r>
    </w:p>
    <w:p>
      <w:pPr>
        <w:numPr>
          <w:ilvl w:val="3"/>
          <w:numId w:val="104"/>
        </w:numPr>
      </w:pPr>
      <w:r>
        <w:drawing>
          <wp:inline>
            <wp:extent cx="127000" cy="127000"/>
            <wp:docPr id="100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【Web版Appendix】スマートホームの安心・安全に向けたサイバー・フジカル・セキュリティ対策ガイドライン　経済産業省</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Mission4</w:t>
      </w:r>
    </w:p>
    <w:p>
      <w:pPr>
        <w:numPr>
          <w:ilvl w:val="2"/>
          <w:numId w:val="104"/>
        </w:numPr>
      </w:pPr>
      <w:r>
        <w:drawing>
          <wp:inline>
            <wp:extent cx="127000" cy="127000"/>
            <wp:docPr id="100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4-7：大規模災害などによる事業中断と事業継続管理</w:t>
      </w:r>
    </w:p>
    <w:p>
      <w:pPr>
        <w:numPr>
          <w:ilvl w:val="3"/>
          <w:numId w:val="104"/>
        </w:numPr>
      </w:pPr>
      <w:r>
        <w:drawing>
          <wp:inline>
            <wp:extent cx="127000" cy="127000"/>
            <wp:docPr id="100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【Web版Appendix】IT/BCPの範囲とフレームワーク</w:t>
      </w:r>
    </w:p>
    <w:p>
      <w:pPr>
        <w:numPr>
          <w:ilvl w:val="3"/>
          <w:numId w:val="104"/>
        </w:numPr>
      </w:pPr>
      <w:r>
        <w:drawing>
          <wp:inline>
            <wp:extent cx="127000" cy="127000"/>
            <wp:docPr id="100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【Web版Appendix】ISO/IEC2203 事業継続</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Mission5</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xmlns:r="http://schemas.openxmlformats.org/officeDocument/2006/relationships"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Information6</w:t>
      </w:r>
    </w:p>
    <w:p>
      <w:pPr>
        <w:numPr>
          <w:ilvl w:val="2"/>
          <w:numId w:val="104"/>
        </w:numPr>
      </w:pPr>
      <w:r>
        <w:drawing>
          <wp:inline>
            <wp:extent cx="127000" cy="127000"/>
            <wp:docPr id="100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6-2：その他の主な報告・連絡・相談窓口等</w:t>
      </w:r>
    </w:p>
    <w:p>
      <w:pPr>
        <w:numPr>
          <w:ilvl w:val="3"/>
          <w:numId w:val="104"/>
        </w:numPr>
      </w:pPr>
      <w:r>
        <w:drawing>
          <wp:inline>
            <wp:extent cx="127000" cy="127000"/>
            <wp:docPr id="100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【Web版Appendix】サイバーセキュリティ報告・連絡・相談窓口一覧【詳細資料】</w:t>
      </w:r>
    </w:p>
    <w:p>
      <w:pPr>
        <w:numPr>
          <w:ilvl w:val="2"/>
          <w:numId w:val="104"/>
        </w:numPr>
      </w:pPr>
      <w:r>
        <w:drawing>
          <wp:inline>
            <wp:extent cx="127000" cy="127000"/>
            <wp:docPr id="100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6-3：セキュリティお役立ち情報リンク</w:t>
      </w:r>
    </w:p>
    <w:p>
      <w:pPr>
        <w:numPr>
          <w:ilvl w:val="3"/>
          <w:numId w:val="104"/>
        </w:numPr>
      </w:pPr>
      <w:r>
        <w:drawing>
          <wp:inline>
            <wp:extent cx="127000" cy="127000"/>
            <wp:docPr id="100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【Web版Appendix】次世代ITおよびサイバーセキュリティ対策に関する文献、サイト一覧【詳細資料】</w:t>
      </w:r>
    </w:p>
    <w:p>
      <w:pPr>
        <w:numPr>
          <w:ilvl w:val="4"/>
          <w:numId w:val="104"/>
        </w:numPr>
      </w:pPr>
      <w:r>
        <w:drawing>
          <wp:inline>
            <wp:extent cx="127000" cy="127000"/>
            <wp:docPr id="100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※内容を充実させ、最新情報として都度更新</w:t>
      </w:r>
    </w:p>
    <w:p>
      <w:pPr>
        <w:numPr>
          <w:ilvl w:val="4"/>
          <w:numId w:val="104"/>
        </w:numPr>
      </w:pPr>
      <w:r>
        <w:drawing>
          <wp:inline>
            <wp:extent cx="127000" cy="127000"/>
            <wp:docPr id="100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サイバーセキュリティ関連の基本文書（法律・基本計画・各種方針等）</w:t>
      </w:r>
    </w:p>
    <w:p>
      <w:pPr>
        <w:numPr>
          <w:ilvl w:val="4"/>
          <w:numId w:val="104"/>
        </w:numPr>
      </w:pPr>
      <w:r>
        <w:drawing>
          <wp:inline>
            <wp:extent cx="127000" cy="127000"/>
            <wp:docPr id="100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サイバーセキュリティ関連の各種白書・年次報告書類</w:t>
      </w:r>
    </w:p>
    <w:p>
      <w:pPr>
        <w:numPr>
          <w:ilvl w:val="4"/>
          <w:numId w:val="104"/>
        </w:numPr>
      </w:pPr>
      <w:r>
        <w:drawing>
          <wp:inline>
            <wp:extent cx="127000" cy="127000"/>
            <wp:docPr id="100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各実施事項の参考情報</w:t>
      </w:r>
    </w:p>
    <w:p>
      <w:pPr>
        <w:numPr>
          <w:ilvl w:val="5"/>
          <w:numId w:val="104"/>
        </w:numPr>
      </w:pPr>
      <w:r>
        <w:drawing>
          <wp:inline>
            <wp:extent cx="127000" cy="127000"/>
            <wp:docPr id="100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全般</w:t>
      </w:r>
    </w:p>
    <w:p>
      <w:pPr>
        <w:numPr>
          <w:ilvl w:val="5"/>
          <w:numId w:val="104"/>
        </w:numPr>
      </w:pPr>
      <w:r>
        <w:drawing>
          <wp:inline>
            <wp:extent cx="127000" cy="127000"/>
            <wp:docPr id="100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DX 関連</w:t>
      </w:r>
    </w:p>
    <w:p>
      <w:pPr>
        <w:numPr>
          <w:ilvl w:val="5"/>
          <w:numId w:val="104"/>
        </w:numPr>
      </w:pPr>
      <w:r>
        <w:drawing>
          <wp:inline>
            <wp:extent cx="127000" cy="127000"/>
            <wp:docPr id="100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IoTセキュリティ関連</w:t>
      </w:r>
    </w:p>
    <w:p>
      <w:pPr>
        <w:numPr>
          <w:ilvl w:val="5"/>
          <w:numId w:val="104"/>
        </w:numPr>
      </w:pPr>
      <w:r>
        <w:drawing>
          <wp:inline>
            <wp:extent cx="127000" cy="127000"/>
            <wp:docPr id="100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テレワーク関連</w:t>
      </w:r>
    </w:p>
    <w:p>
      <w:pPr>
        <w:numPr>
          <w:ilvl w:val="5"/>
          <w:numId w:val="104"/>
        </w:numPr>
      </w:pPr>
      <w:r>
        <w:drawing>
          <wp:inline>
            <wp:extent cx="127000" cy="127000"/>
            <wp:docPr id="100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AI関連</w:t>
      </w:r>
    </w:p>
    <w:p>
      <w:pPr>
        <w:numPr>
          <w:ilvl w:val="5"/>
          <w:numId w:val="104"/>
        </w:numPr>
      </w:pPr>
      <w:r>
        <w:drawing>
          <wp:inline>
            <wp:extent cx="127000" cy="127000"/>
            <wp:docPr id="100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インシデント対応関連</w:t>
      </w:r>
    </w:p>
    <w:p>
      <w:pPr>
        <w:numPr>
          <w:ilvl w:val="5"/>
          <w:numId w:val="104"/>
        </w:numPr>
      </w:pPr>
      <w:r>
        <w:drawing>
          <wp:inline>
            <wp:extent cx="127000" cy="127000"/>
            <wp:docPr id="100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個人情報保護関連</w:t>
      </w:r>
    </w:p>
    <w:p>
      <w:pPr>
        <w:numPr>
          <w:ilvl w:val="5"/>
          <w:numId w:val="104"/>
        </w:numPr>
      </w:pPr>
      <w:r>
        <w:drawing>
          <wp:inline>
            <wp:extent cx="127000" cy="127000"/>
            <wp:docPr id="100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GDPR</w:t>
      </w:r>
    </w:p>
    <w:p>
      <w:pPr>
        <w:numPr>
          <w:ilvl w:val="5"/>
          <w:numId w:val="104"/>
        </w:numPr>
      </w:pPr>
      <w:r>
        <w:drawing>
          <wp:inline>
            <wp:extent cx="127000" cy="127000"/>
            <wp:docPr id="1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SP 800-53 Rev.5 情報システムおよび組織のセキュリティおよびプライバシー管理</w:t>
      </w:r>
    </w:p>
    <w:p>
      <w:pPr>
        <w:numPr>
          <w:ilvl w:val="5"/>
          <w:numId w:val="104"/>
        </w:numPr>
      </w:pPr>
      <w:r>
        <w:drawing>
          <wp:inline>
            <wp:extent cx="127000" cy="127000"/>
            <wp:docPr id="100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人材育成関連</w:t>
      </w:r>
    </w:p>
    <w:p>
      <w:pPr>
        <w:numPr>
          <w:ilvl w:val="5"/>
          <w:numId w:val="104"/>
        </w:numPr>
      </w:pPr>
      <w:r>
        <w:drawing>
          <wp:inline>
            <wp:extent cx="127000" cy="127000"/>
            <wp:docPr id="100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【追加】デジタルリテラシー領域「Di-Lite」</w:t>
      </w:r>
    </w:p>
    <w:p>
      <w:pPr>
        <w:numPr>
          <w:ilvl w:val="5"/>
          <w:numId w:val="104"/>
        </w:numPr>
      </w:pPr>
      <w:r>
        <w:t>法令・規則</w:t>
      </w:r>
    </w:p>
    <w:p>
      <w:pPr>
        <w:numPr>
          <w:ilvl w:val="4"/>
          <w:numId w:val="104"/>
        </w:numPr>
      </w:pPr>
      <w:r>
        <w:drawing>
          <wp:inline>
            <wp:extent cx="127000" cy="127000"/>
            <wp:docPr id="100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各実施関連機関</w:t>
      </w:r>
    </w:p>
    <w:p>
      <w:pPr>
        <w:numPr>
          <w:ilvl w:val="5"/>
          <w:numId w:val="104"/>
        </w:numPr>
      </w:pPr>
      <w:r>
        <w:drawing>
          <wp:inline>
            <wp:extent cx="127000" cy="127000"/>
            <wp:docPr id="100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【追加】「デジタルリテラシー協議会」</w:t>
      </w:r>
    </w:p>
    <w:p>
      <w:pPr>
        <w:numPr>
          <w:ilvl w:val="3"/>
          <w:numId w:val="104"/>
        </w:numPr>
      </w:pPr>
      <w:r>
        <w:drawing>
          <wp:inline>
            <wp:extent cx="127000" cy="127000"/>
            <wp:docPr id="100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【Web版Appendix】一般ユーザ向け：次世代ITおよびサイバーセキュリティ対策に関する啓発用資料【IT利用局面毎】</w:t>
      </w:r>
    </w:p>
    <w:p>
      <w:pPr>
        <w:numPr>
          <w:ilvl w:val="4"/>
          <w:numId w:val="104"/>
        </w:numPr>
      </w:pPr>
      <w:r>
        <w:drawing>
          <wp:inline>
            <wp:extent cx="127000" cy="127000"/>
            <wp:docPr id="100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pPr>
        <w:numPr>
          <w:ilvl w:val="4"/>
          <w:numId w:val="104"/>
        </w:numPr>
      </w:pPr>
      <w:r>
        <w:drawing>
          <wp:inline>
            <wp:extent cx="127000" cy="127000"/>
            <wp:docPr id="100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ECサイト利用</w:t>
      </w:r>
    </w:p>
    <w:p>
      <w:pPr>
        <w:numPr>
          <w:ilvl w:val="4"/>
          <w:numId w:val="104"/>
        </w:numPr>
      </w:pPr>
      <w:r>
        <w:drawing>
          <wp:inline>
            <wp:extent cx="127000" cy="127000"/>
            <wp:docPr id="100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電子メール</w:t>
      </w:r>
    </w:p>
    <w:p>
      <w:pPr>
        <w:numPr>
          <w:ilvl w:val="4"/>
          <w:numId w:val="104"/>
        </w:numPr>
      </w:pPr>
      <w:r>
        <w:drawing>
          <wp:inline>
            <wp:extent cx="127000" cy="127000"/>
            <wp:docPr id="100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t>
      </w:r>
    </w:p>
    <w:p>
      <w:pPr>
        <w:numPr>
          <w:ilvl w:val="2"/>
          <w:numId w:val="104"/>
        </w:numPr>
      </w:pPr>
      <w:r>
        <w:drawing>
          <wp:inline>
            <wp:extent cx="127000" cy="127000"/>
            <wp:docPr id="100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6-4：中小企業の情報セキュリティ対策ガイドライン</w:t>
      </w:r>
    </w:p>
    <w:p>
      <w:pPr>
        <w:numPr>
          <w:ilvl w:val="3"/>
          <w:numId w:val="104"/>
        </w:numPr>
      </w:pPr>
      <w:r>
        <w:drawing>
          <wp:inline>
            <wp:extent cx="127000" cy="127000"/>
            <wp:docPr id="100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【Web版Appendix】6-4_Appendix_中小企業の情報セキュリティ対策ガイドラインの概要【構成】</w:t>
      </w:r>
    </w:p>
    <w:p>
      <w:pPr>
        <w:numPr>
          <w:ilvl w:val="3"/>
          <w:numId w:val="104"/>
        </w:numPr>
      </w:pPr>
      <w:r>
        <w:drawing>
          <wp:inline>
            <wp:extent cx="127000" cy="127000"/>
            <wp:docPr id="100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r>
        <w:t xml:space="preserve"> </w:t>
      </w:r>
      <w:r>
        <w:t>できるところから始める</w:t>
      </w:r>
    </w:p>
    <w:p>
      <w:pPr>
        <w:numPr>
          <w:ilvl w:val="3"/>
          <w:numId w:val="104"/>
        </w:numPr>
      </w:pPr>
      <w:r>
        <w:drawing>
          <wp:inline>
            <wp:extent cx="127000" cy="127000"/>
            <wp:docPr id="100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r>
        <w:t xml:space="preserve"> </w:t>
      </w:r>
      <w:r>
        <w:t>組織的な取り組みを開始する</w:t>
      </w:r>
    </w:p>
    <w:p>
      <w:pPr>
        <w:numPr>
          <w:ilvl w:val="4"/>
          <w:numId w:val="104"/>
        </w:numPr>
      </w:pPr>
      <w:r>
        <w:drawing>
          <wp:inline>
            <wp:extent cx="127000" cy="127000"/>
            <wp:docPr id="100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【Web版Appendix】6-4-X_Appendix_【付録4】情報セキュリティハンドブック（ひな型）の使い方（ポイント）</w:t>
      </w:r>
    </w:p>
    <w:p>
      <w:pPr>
        <w:numPr>
          <w:ilvl w:val="3"/>
          <w:numId w:val="104"/>
        </w:numPr>
      </w:pPr>
      <w:r>
        <w:drawing>
          <wp:inline>
            <wp:extent cx="127000" cy="127000"/>
            <wp:docPr id="100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r>
        <w:t xml:space="preserve"> </w:t>
      </w:r>
      <w:r>
        <w:t>本格的に取り組む</w:t>
      </w:r>
    </w:p>
    <w:p>
      <w:pPr>
        <w:numPr>
          <w:ilvl w:val="4"/>
          <w:numId w:val="104"/>
        </w:numPr>
      </w:pPr>
      <w:r>
        <w:drawing>
          <wp:inline>
            <wp:extent cx="127000" cy="127000"/>
            <wp:docPr id="100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【Web版Appendix】6-4-X_Appendix_サイバーセキュリティ経営チェックシート【「サイバーセキュリティ経営ガイドライン」Ver2.0 付録A】</w:t>
      </w:r>
    </w:p>
    <w:p>
      <w:pPr>
        <w:numPr>
          <w:ilvl w:val="3"/>
          <w:numId w:val="104"/>
        </w:numPr>
      </w:pPr>
      <w:r>
        <w:drawing>
          <wp:inline>
            <wp:extent cx="127000" cy="127000"/>
            <wp:docPr id="100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r>
        <w:t xml:space="preserve"> </w:t>
      </w:r>
      <w:r>
        <w:t>より強固にするための方策</w:t>
      </w:r>
    </w:p>
    <w:p>
      <w:pPr>
        <w:numPr>
          <w:ilvl w:val="4"/>
          <w:numId w:val="104"/>
        </w:numPr>
      </w:pPr>
      <w:r>
        <w:drawing>
          <wp:inline>
            <wp:extent cx="127000" cy="127000"/>
            <wp:docPr id="100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【Web版Appendix】6-4-1_Appendix_情報資産台帳の作成と詳細リスク分析</w:t>
      </w:r>
    </w:p>
    <w:p>
      <w:pPr>
        <w:numPr>
          <w:ilvl w:val="4"/>
          <w:numId w:val="104"/>
        </w:numPr>
      </w:pPr>
      <w:r>
        <w:drawing>
          <wp:inline>
            <wp:extent cx="127000" cy="127000"/>
            <wp:docPr id="100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【Web版Appendix】6-4-1_Appendix_情報セキュリティ関連規程に記載すべき項目の概要</w:t>
      </w:r>
    </w:p>
    <w:p>
      <w:pPr>
        <w:numPr>
          <w:ilvl w:val="4"/>
          <w:numId w:val="104"/>
        </w:numPr>
      </w:pPr>
      <w:r>
        <w:drawing>
          <wp:inline>
            <wp:extent cx="127000" cy="127000"/>
            <wp:docPr id="100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【Web版Appendix】ACTION4 対策をより強化する</w:t>
      </w:r>
    </w:p>
    <w:p>
      <w:pPr>
        <w:numPr>
          <w:ilvl w:val="5"/>
          <w:numId w:val="104"/>
        </w:numPr>
      </w:pPr>
      <w:r>
        <w:drawing>
          <wp:inline>
            <wp:extent cx="127000" cy="127000"/>
            <wp:docPr id="100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３クラウドサービスの情報セキュリティセキュリティ対策３段階で検討しましょう。、＜ー３段階の説明を追加する</w:t>
      </w:r>
    </w:p>
    <w:p>
      <w:pPr>
        <w:numPr>
          <w:ilvl w:val="4"/>
          <w:numId w:val="104"/>
        </w:numPr>
      </w:pPr>
      <w:r>
        <w:drawing>
          <wp:inline>
            <wp:extent cx="127000" cy="127000"/>
            <wp:docPr id="100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【Web版Appendix】ISMAP　情報セキュリティ監査ガイドライン　経済産業省</w:t>
      </w:r>
    </w:p>
    <w:p>
      <w:pPr>
        <w:numPr>
          <w:ilvl w:val="2"/>
          <w:numId w:val="104"/>
        </w:numPr>
      </w:pPr>
      <w:r>
        <w:drawing>
          <wp:inline>
            <wp:extent cx="127000" cy="127000"/>
            <wp:docPr id="100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6-5：中小企業のためのクラウドサービス安全利用手引き</w:t>
      </w:r>
    </w:p>
    <w:p>
      <w:pPr>
        <w:numPr>
          <w:ilvl w:val="3"/>
          <w:numId w:val="104"/>
        </w:numPr>
      </w:pPr>
      <w:r>
        <w:drawing>
          <wp:inline>
            <wp:extent cx="127000" cy="127000"/>
            <wp:docPr id="100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【Web版Appendix】クラウドセキュリティ監視Tool　CASBYの活用</w:t>
      </w:r>
    </w:p>
    <w:p>
      <w:pPr>
        <w:numPr>
          <w:ilvl w:val="3"/>
          <w:numId w:val="104"/>
        </w:numPr>
      </w:pPr>
      <w:r>
        <w:drawing>
          <wp:inline>
            <wp:extent cx="127000" cy="127000"/>
            <wp:docPr id="100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【Web版Appendix】ゼロトラストセキュリティでは、新たな「境界」の考え方であるSDP（Software Defined Perimeter）展開されている</w:t>
      </w:r>
    </w:p>
    <w:p>
      <w:pPr>
        <w:numPr>
          <w:ilvl w:val="3"/>
          <w:numId w:val="104"/>
        </w:numPr>
      </w:pPr>
      <w:r>
        <w:drawing>
          <wp:inline>
            <wp:extent cx="127000" cy="127000"/>
            <wp:docPr id="100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【Web版Appendix】「ゼロトラストモデル」とは―クラウド時代の次世代セキュリティモデル</w:t>
      </w:r>
    </w:p>
    <w:p>
      <w:pPr>
        <w:numPr>
          <w:ilvl w:val="2"/>
          <w:numId w:val="104"/>
        </w:numPr>
      </w:pPr>
      <w:r>
        <w:drawing>
          <wp:inline>
            <wp:extent cx="127000" cy="127000"/>
            <wp:docPr id="100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6-6：IT活用に不可欠なIT人材の確保と育成</w:t>
      </w:r>
    </w:p>
    <w:p>
      <w:pPr>
        <w:numPr>
          <w:ilvl w:val="3"/>
          <w:numId w:val="104"/>
        </w:numPr>
      </w:pPr>
      <w:r>
        <w:drawing>
          <wp:inline>
            <wp:extent cx="127000" cy="127000"/>
            <wp:docPr id="100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【Web版Appendix】6-6-1_Appendix_次世代技術を活用したビジネス展開のためのデジタルリテラシーの習得</w:t>
      </w:r>
    </w:p>
    <w:p>
      <w:pPr>
        <w:numPr>
          <w:ilvl w:val="4"/>
          <w:numId w:val="104"/>
        </w:numPr>
      </w:pPr>
      <w:r>
        <w:drawing>
          <wp:inline>
            <wp:extent cx="127000" cy="127000"/>
            <wp:docPr id="100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デジタルリテラシー領域「Di-Lite」</w:t>
      </w:r>
    </w:p>
    <w:p>
      <w:pPr>
        <w:numPr>
          <w:ilvl w:val="5"/>
          <w:numId w:val="104"/>
        </w:numPr>
      </w:pPr>
      <w:r>
        <w:drawing>
          <wp:inline>
            <wp:extent cx="127000" cy="127000"/>
            <wp:docPr id="100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マインド</w:t>
      </w:r>
    </w:p>
    <w:p>
      <w:pPr>
        <w:numPr>
          <w:ilvl w:val="5"/>
          <w:numId w:val="104"/>
        </w:numPr>
      </w:pPr>
      <w:r>
        <w:t>デジタルに取り組むスタンス、マインド</w:t>
      </w:r>
    </w:p>
    <w:p>
      <w:pPr>
        <w:numPr>
          <w:ilvl w:val="5"/>
          <w:numId w:val="104"/>
        </w:numPr>
      </w:pPr>
      <w:r>
        <w:drawing>
          <wp:inline>
            <wp:extent cx="127000" cy="127000"/>
            <wp:docPr id="100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知識体系</w:t>
      </w:r>
    </w:p>
    <w:p>
      <w:pPr>
        <w:numPr>
          <w:ilvl w:val="5"/>
          <w:numId w:val="104"/>
        </w:numPr>
      </w:pPr>
      <w:r>
        <w:t>デジタル活用分野/適用事例</w:t>
      </w:r>
    </w:p>
    <w:p>
      <w:pPr>
        <w:numPr>
          <w:ilvl w:val="5"/>
          <w:numId w:val="104"/>
        </w:numPr>
      </w:pPr>
      <w:r>
        <w:t>デジタル知識</w:t>
      </w:r>
    </w:p>
    <w:p>
      <w:pPr>
        <w:numPr>
          <w:ilvl w:val="5"/>
          <w:numId w:val="104"/>
        </w:numPr>
      </w:pPr>
      <w:r>
        <w:drawing>
          <wp:inline>
            <wp:extent cx="127000" cy="127000"/>
            <wp:docPr id="100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スキル</w:t>
      </w:r>
    </w:p>
    <w:p>
      <w:pPr>
        <w:numPr>
          <w:ilvl w:val="5"/>
          <w:numId w:val="104"/>
        </w:numPr>
      </w:pPr>
      <w:r>
        <w:t>使う、作る/なおす</w:t>
      </w:r>
    </w:p>
    <w:p>
      <w:pPr>
        <w:numPr>
          <w:ilvl w:val="5"/>
          <w:numId w:val="104"/>
        </w:numPr>
      </w:pPr>
      <w:r>
        <w:t>より上手に使う/広める</w:t>
      </w:r>
    </w:p>
    <w:p>
      <w:pPr>
        <w:numPr>
          <w:ilvl w:val="5"/>
          <w:numId w:val="104"/>
        </w:numPr>
      </w:pPr>
      <w:r>
        <w:t>発想する/活用方針を示す</w:t>
      </w:r>
    </w:p>
    <w:p>
      <w:pPr>
        <w:numPr>
          <w:ilvl w:val="5"/>
          <w:numId w:val="104"/>
        </w:numPr>
      </w:pPr>
      <w:r>
        <w:t>新たに作る/教える</w:t>
      </w:r>
    </w:p>
    <w:p>
      <w:pPr>
        <w:numPr>
          <w:ilvl w:val="4"/>
          <w:numId w:val="104"/>
        </w:numPr>
      </w:pPr>
      <w:r>
        <w:drawing>
          <wp:inline>
            <wp:extent cx="127000" cy="127000"/>
            <wp:docPr id="100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「Di-Lite」のベースとなるカリキュラム</w:t>
      </w:r>
    </w:p>
    <w:p>
      <w:pPr>
        <w:numPr>
          <w:ilvl w:val="5"/>
          <w:numId w:val="104"/>
        </w:numPr>
      </w:pPr>
      <w:r>
        <w:drawing>
          <wp:inline>
            <wp:extent cx="127000" cy="127000"/>
            <wp:docPr id="100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ITパスポート試験（IPA実施)</w:t>
      </w:r>
    </w:p>
    <w:p>
      <w:pPr>
        <w:numPr>
          <w:ilvl w:val="5"/>
          <w:numId w:val="104"/>
        </w:numPr>
      </w:pPr>
      <w:r>
        <w:drawing>
          <wp:inline>
            <wp:extent cx="127000" cy="127000"/>
            <wp:docPr id="100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データサイエンティスト検定リテラシーレベル（JDLA実施)</w:t>
      </w:r>
    </w:p>
    <w:p>
      <w:pPr>
        <w:numPr>
          <w:ilvl w:val="5"/>
          <w:numId w:val="104"/>
        </w:numPr>
      </w:pPr>
      <w:r>
        <w:drawing>
          <wp:inline>
            <wp:extent cx="127000" cy="127000"/>
            <wp:docPr id="100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G検定（JDLA実施)</w:t>
      </w:r>
    </w:p>
    <w:p>
      <w:pPr>
        <w:numPr>
          <w:ilvl w:val="4"/>
          <w:numId w:val="104"/>
        </w:numPr>
      </w:pPr>
      <w:r>
        <w:drawing>
          <wp:inline>
            <wp:extent cx="127000" cy="127000"/>
            <wp:docPr id="100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近い将来のITの利活用と必要な人材（「サイバーセキュリティ研究開発戦略」の要約）</w:t>
      </w:r>
    </w:p>
    <w:p>
      <w:pPr>
        <w:numPr>
          <w:ilvl w:val="3"/>
          <w:numId w:val="104"/>
        </w:numPr>
      </w:pPr>
      <w:r>
        <w:drawing>
          <wp:inline>
            <wp:extent cx="127000" cy="127000"/>
            <wp:docPr id="100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6-6-2_Appendix_iコンピテンシ・ディクショナリ(iCD)</w:t>
      </w:r>
    </w:p>
    <w:p>
      <w:pPr>
        <w:numPr>
          <w:ilvl w:val="2"/>
          <w:numId w:val="104"/>
        </w:numPr>
      </w:pPr>
      <w:r>
        <w:drawing>
          <wp:inline>
            <wp:extent cx="127000" cy="127000"/>
            <wp:docPr id="100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6-7：情報セキュリティ関連法令</w:t>
      </w:r>
    </w:p>
    <w:p>
      <w:pPr>
        <w:numPr>
          <w:ilvl w:val="3"/>
          <w:numId w:val="104"/>
        </w:numPr>
      </w:pPr>
      <w:r>
        <w:drawing>
          <wp:inline>
            <wp:extent cx="127000" cy="127000"/>
            <wp:docPr id="100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【Web版Appendix】プライバシイ保護法の国際化とCBPR認証（Cross　Border Privacy Rule</w:t>
      </w:r>
    </w:p>
    <w:p>
      <w:pPr>
        <w:numPr>
          <w:ilvl w:val="3"/>
          <w:numId w:val="104"/>
        </w:numPr>
      </w:pPr>
      <w:r>
        <w:drawing>
          <wp:inline>
            <wp:extent cx="127000" cy="127000"/>
            <wp:docPr id="100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【Web版Appendix】改正民法と瑕疵担保期間の延長</w:t>
      </w:r>
    </w:p>
    <w:p>
      <w:pPr>
        <w:numPr>
          <w:ilvl w:val="3"/>
          <w:numId w:val="104"/>
        </w:numPr>
      </w:pPr>
      <w:r>
        <w:drawing>
          <wp:inline>
            <wp:extent cx="127000" cy="127000"/>
            <wp:docPr id="100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【Web版Appendix】個人保護保護法の改正（デジタル庁）</w:t>
      </w:r>
    </w:p>
    <w:p>
      <w:pPr>
        <w:numPr>
          <w:ilvl w:val="2"/>
          <w:numId w:val="104"/>
        </w:numPr>
      </w:pPr>
      <w:r>
        <w:drawing>
          <wp:inline>
            <wp:extent cx="127000" cy="127000"/>
            <wp:docPr id="100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6-X：デジタルリテラシー</w:t>
      </w:r>
    </w:p>
    <w:p>
      <w:pPr>
        <w:numPr>
          <w:ilvl w:val="3"/>
          <w:numId w:val="104"/>
        </w:numPr>
      </w:pPr>
      <w:r>
        <w:drawing>
          <wp:inline>
            <wp:extent cx="127000" cy="127000"/>
            <wp:docPr id="100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【Web版Appendix】6-X-X_Appendix_組織人として持つべきデジタルリテラシー【スキル項目と啓発資料】</w:t>
      </w:r>
    </w:p>
    <w:p>
      <w:pPr>
        <w:numPr>
          <w:ilvl w:val="4"/>
          <w:numId w:val="104"/>
        </w:numPr>
      </w:pPr>
      <w:r>
        <w:drawing>
          <wp:inline>
            <wp:extent cx="127000" cy="127000"/>
            <wp:docPr id="100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経営者として</w:t>
      </w:r>
    </w:p>
    <w:p>
      <w:pPr>
        <w:numPr>
          <w:ilvl w:val="4"/>
          <w:numId w:val="104"/>
        </w:numPr>
      </w:pPr>
      <w:r>
        <w:drawing>
          <wp:inline>
            <wp:extent cx="127000" cy="127000"/>
            <wp:docPr id="100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システム管理者として</w:t>
      </w:r>
    </w:p>
    <w:p>
      <w:pPr>
        <w:numPr>
          <w:ilvl w:val="4"/>
          <w:numId w:val="104"/>
        </w:numPr>
      </w:pPr>
      <w:r>
        <w:drawing>
          <wp:inline>
            <wp:extent cx="127000" cy="127000"/>
            <wp:docPr id="100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従業員として</w:t>
      </w:r>
    </w:p>
    <w:p>
      <w:pPr>
        <w:numPr>
          <w:ilvl w:val="2"/>
          <w:numId w:val="104"/>
        </w:numPr>
      </w:pPr>
      <w:r>
        <w:drawing>
          <wp:inline>
            <wp:extent cx="127000" cy="127000"/>
            <wp:docPr id="100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6-X：個人情報保護・プライバシーへの対応</w:t>
      </w:r>
    </w:p>
    <w:p>
      <w:pPr>
        <w:numPr>
          <w:ilvl w:val="3"/>
          <w:numId w:val="104"/>
        </w:numPr>
      </w:pPr>
      <w:r>
        <w:drawing>
          <wp:inline>
            <wp:extent cx="127000" cy="127000"/>
            <wp:docPr id="100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【Web版Appendix】プライバシイバイデザイン　７原則　DX企業のプライバシ－ガバナンスガイド　経済産業省</w:t>
      </w:r>
    </w:p>
    <w:p>
      <w:pPr>
        <w:numPr>
          <w:ilvl w:val="0"/>
          <w:numId w:val="0"/>
        </w:numPr>
        <w:ind w:left="0"/>
        <w:sectPr w:rsidSect="00F019F0">
          <w:headerReference w:type="even" r:id="rId16"/>
          <w:headerReference w:type="default" r:id="rId17"/>
          <w:footerReference w:type="even" r:id="rId18"/>
          <w:footerReference w:type="default" r:id="rId19"/>
          <w:headerReference w:type="first" r:id="rId20"/>
          <w:footerReference w:type="first" r:id="rId21"/>
          <w:pgSz w:w="11906" w:h="16838" w:code="9"/>
          <w:pgMar w:top="1418" w:right="1701" w:bottom="1134" w:left="1701" w:header="851" w:footer="992" w:gutter="0"/>
          <w:cols w:space="104"/>
          <w:docGrid w:type="lines" w:linePitch="360"/>
        </w:sectPr>
      </w:pPr>
    </w:p>
    <w:p/>
    <w:sectPr w:rsidSect="00DC121D">
      <w:footerReference w:type="even" r:id="rId22"/>
      <w:footerReference w:type="default" r:id="rId2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19" Type="http://schemas.openxmlformats.org/officeDocument/2006/relationships/footer" Target="footer2.xml" /><Relationship Id="rId2" Type="http://schemas.openxmlformats.org/officeDocument/2006/relationships/webSettings" Target="webSettings.xml" /><Relationship Id="rId20" Type="http://schemas.openxmlformats.org/officeDocument/2006/relationships/header" Target="header3.xml" /><Relationship Id="rId21" Type="http://schemas.openxmlformats.org/officeDocument/2006/relationships/footer" Target="footer3.xml" /><Relationship Id="rId22" Type="http://schemas.openxmlformats.org/officeDocument/2006/relationships/footer" Target="footer4.xml" /><Relationship Id="rId23" Type="http://schemas.openxmlformats.org/officeDocument/2006/relationships/footer" Target="footer5.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7</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