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Sec01-01-04_6.6_1_AP_次世代技術を活用したビジネス展開のためのデジタルリテラシーの習得（INFORMATION 6-6追補原稿）</w:t>
      </w:r>
    </w:p>
    <w:p>
      <w:pPr>
        <w:pStyle w:val="Heading2"/>
        <w:numPr>
          <w:ilvl w:val="1"/>
          <w:numId w:val="104"/>
        </w:numPr>
      </w:pPr>
      <w:r>
        <w:t>INFORMATION 6-6 App.01 次世代技術を活用したビジネス展開のためのデジタルリテラシーの習得</w:t>
      </w:r>
    </w:p>
    <w:p>
      <w:pPr>
        <w:pStyle w:val="Heading3"/>
        <w:numPr>
          <w:ilvl w:val="2"/>
          <w:numId w:val="104"/>
        </w:numPr>
      </w:pPr>
      <w:r>
        <w:t>概要</w:t>
      </w:r>
    </w:p>
    <w:p>
      <w:pPr>
        <w:pStyle w:val="Heading4"/>
        <w:numPr>
          <w:ilvl w:val="3"/>
          <w:numId w:val="104"/>
        </w:numPr>
      </w:pPr>
      <w:r>
        <w:t>全てのビジネスパーソンがデジタル時代のコア・リテラシーを身につけていくことが求められます。</w:t>
      </w:r>
    </w:p>
    <w:p>
      <w:pPr>
        <w:numPr>
          <w:ilvl w:val="4"/>
          <w:numId w:val="104"/>
        </w:numPr>
      </w:pPr>
      <w:r>
        <w:t>内閣府が策定した「AI戦略2019」において、AI時代に対応した人材育成や、それを持続的に実現する仕組みの構築が戦略目標に挙げられているとおり、デジタル時代の人材育成は国全体の重要な課題となっています。</w:t>
      </w:r>
    </w:p>
    <w:p>
      <w:pPr>
        <w:numPr>
          <w:ilvl w:val="4"/>
          <w:numId w:val="104"/>
        </w:numPr>
      </w:pPr>
      <w:r>
        <w:t>デジタルトランスフォーメーションの推進には、これまでの「デジタルを作る人材」だけでなく、「デジタルを使う人材」も含めた両輪の育成が必要となる</w:t>
      </w:r>
    </w:p>
    <w:p>
      <w:pPr>
        <w:pStyle w:val="Heading4"/>
        <w:numPr>
          <w:ilvl w:val="3"/>
          <w:numId w:val="104"/>
        </w:numPr>
      </w:pPr>
      <w:r>
        <w:t>IT・データサイエンス・AIの三方面からデジタルリテラシーの向上を図る</w:t>
      </w:r>
    </w:p>
    <w:p>
      <w:pPr>
        <w:numPr>
          <w:ilvl w:val="4"/>
          <w:numId w:val="104"/>
        </w:numPr>
      </w:pPr>
      <w:r>
        <w:t>ITの利活用を推進するIPA、データサイエンティストのスキル定義や人材育成を支援するDSS、ディープラーニング技術の産業活用を推進するJDLAが連携して、デジタルリテラシーの向上を図るために準備を進めている</w:t>
      </w:r>
    </w:p>
    <w:p>
      <w:pPr>
        <w:pStyle w:val="Heading3"/>
        <w:numPr>
          <w:ilvl w:val="2"/>
          <w:numId w:val="104"/>
        </w:numPr>
      </w:pPr>
      <w:r>
        <w:t>中小企業における人材育成の戦略</w:t>
      </w:r>
    </w:p>
    <w:p>
      <w:pPr>
        <w:pStyle w:val="Heading4"/>
        <w:numPr>
          <w:ilvl w:val="3"/>
          <w:numId w:val="104"/>
        </w:numPr>
      </w:pPr>
      <w:r>
        <w:t>中小企業が、ビジネスを発展させるためには、攻めのIT投資とサイバーセキュリティ対策を講ずる必要がある</w:t>
      </w:r>
    </w:p>
    <w:p>
      <w:pPr>
        <w:pStyle w:val="Heading4"/>
        <w:numPr>
          <w:ilvl w:val="3"/>
          <w:numId w:val="104"/>
        </w:numPr>
      </w:pPr>
      <w:r>
        <w:t>「経営者、システム管理者が、「デジタルリテラシー」の知識とスキルを得て、①守りのIT・セキュリティ対策に留まらず、②事業を発展させるためのの攻めのIT・セキュリティ対策を講じるための人材の育成を推進するべきである.</w:t>
      </w:r>
    </w:p>
    <w:p>
      <w:pPr>
        <w:numPr>
          <w:ilvl w:val="4"/>
          <w:numId w:val="104"/>
        </w:numPr>
      </w:pPr>
      <w:r>
        <w:t>※「バイモーダル」を考える</w:t>
      </w:r>
    </w:p>
    <w:p>
      <w:pPr>
        <w:numPr>
          <w:ilvl w:val="4"/>
          <w:numId w:val="104"/>
        </w:numPr>
      </w:pPr>
      <w:r>
        <w:t>※ITの知識を持たずにセキュリティ対策を講じることは困難。セキュリティ対策は、IT活用の推進の中でセキュリティバイデザインの考え方で対処する</w:t>
      </w:r>
    </w:p>
    <w:p>
      <w:pPr>
        <w:pStyle w:val="Heading4"/>
        <w:numPr>
          <w:ilvl w:val="3"/>
          <w:numId w:val="104"/>
        </w:numPr>
      </w:pPr>
      <w:r>
        <w:t>①守りのIT・セキュリティ対策</w:t>
      </w:r>
    </w:p>
    <w:p>
      <w:pPr>
        <w:numPr>
          <w:ilvl w:val="4"/>
          <w:numId w:val="104"/>
        </w:numPr>
      </w:pPr>
      <w:r>
        <w:t>これまで組織のITシステムは、業務の改善や効率化によるコスト削減により、経営を安定化させることに重きが置かれ、サービスの維持が図られてきた。</w:t>
      </w:r>
    </w:p>
    <w:p>
      <w:pPr>
        <w:numPr>
          <w:ilvl w:val="4"/>
          <w:numId w:val="104"/>
        </w:numPr>
      </w:pPr>
      <w:r>
        <w:t>現状を維持するためだけでも新たなIT技術への対応と、新たな脅威への対処のためのセキュリティ対策が必要である。</w:t>
      </w:r>
    </w:p>
    <w:p>
      <w:pPr>
        <w:pStyle w:val="Heading4"/>
        <w:numPr>
          <w:ilvl w:val="3"/>
          <w:numId w:val="104"/>
        </w:numPr>
      </w:pPr>
      <w:r>
        <w:t>②攻めのIT・セキュリティ対策</w:t>
      </w:r>
    </w:p>
    <w:p>
      <w:pPr>
        <w:numPr>
          <w:ilvl w:val="4"/>
          <w:numId w:val="104"/>
        </w:numPr>
      </w:pPr>
      <w:r>
        <w:t>しかしながら、サービスの維持だけでは、ビジネスの競争に勝ち残れない。</w:t>
      </w:r>
    </w:p>
    <w:p>
      <w:pPr>
        <w:numPr>
          <w:ilvl w:val="4"/>
          <w:numId w:val="104"/>
        </w:numPr>
      </w:pPr>
      <w:r>
        <w:t>時代のニーズに対応した高付加価値の新たな取り組みにより、サービスを向上させていかなければ、組織の発展はおろか、継続も見込めなくなることが予想される。</w:t>
      </w:r>
    </w:p>
    <w:p>
      <w:pPr>
        <w:numPr>
          <w:ilvl w:val="4"/>
          <w:numId w:val="104"/>
        </w:numPr>
      </w:pPr>
      <w:r>
        <w:t>より先進的な技術を活用した新たなサービスを、他社に先駆けて提供していくことが望まれる。</w:t>
      </w:r>
    </w:p>
    <w:p>
      <w:pPr>
        <w:numPr>
          <w:ilvl w:val="4"/>
          <w:numId w:val="104"/>
        </w:numPr>
      </w:pPr>
      <w:r>
        <w:t>そのためにも、組織人として、ITやデジタルを利活用できるデジタルリテラシーの習得が求められる。</w:t>
      </w:r>
    </w:p>
    <w:p>
      <w:pPr>
        <w:pStyle w:val="Heading3"/>
        <w:numPr>
          <w:ilvl w:val="2"/>
          <w:numId w:val="104"/>
        </w:numPr>
      </w:pPr>
      <w:r>
        <w:t>「デジタルリテラシー」の習得</w:t>
      </w:r>
    </w:p>
    <w:p>
      <w:pPr>
        <w:pStyle w:val="Heading4"/>
        <w:numPr>
          <w:ilvl w:val="3"/>
          <w:numId w:val="104"/>
        </w:numPr>
      </w:pPr>
      <w:r>
        <w:t>デジタルトランスフォーメーションの推進には、これまでの「デジタルを作る人材」だけでなく、「デジタルを使う人材」が必要だが、中小企業においては、まず、「デジタルを使う人材」の育成に力を入れるべきである、</w:t>
      </w:r>
    </w:p>
    <w:p>
      <w:pPr>
        <w:pStyle w:val="Heading4"/>
        <w:numPr>
          <w:ilvl w:val="3"/>
          <w:numId w:val="104"/>
        </w:numPr>
      </w:pPr>
      <w:r>
        <w:t>「デジタルリテラシー・スキルフレームワーク」で網羅的・体系的に</w:t>
      </w:r>
    </w:p>
    <w:p>
      <w:pPr>
        <w:numPr>
          <w:ilvl w:val="4"/>
          <w:numId w:val="104"/>
        </w:numPr>
      </w:pPr>
      <w:r>
        <w:t>概念</w:t>
      </w:r>
    </w:p>
    <w:p>
      <w:pPr>
        <w:numPr>
          <w:ilvl w:val="0"/>
          <w:numId w:val="0"/>
        </w:numPr>
        <w:ind w:left="1440"/>
      </w:pPr>
      <w:r>
        <w:drawing>
          <wp:anchor simplePos="0" relativeHeight="251658240" behindDoc="0" locked="0" layoutInCell="1" allowOverlap="1">
            <wp:simplePos x="0" y="0"/>
            <wp:positionH relativeFrom="column">
              <wp:posOffset>914400</wp:posOffset>
            </wp:positionH>
            <wp:positionV relativeFrom="paragraph">
              <wp:posOffset>0</wp:posOffset>
            </wp:positionV>
            <wp:extent cx="4485640" cy="2883626"/>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4485640" cy="2883626"/>
                    </a:xfrm>
                    <a:prstGeom prst="rect">
                      <a:avLst/>
                    </a:prstGeom>
                  </pic:spPr>
                </pic:pic>
              </a:graphicData>
            </a:graphic>
          </wp:anchor>
        </w:drawing>
      </w:r>
    </w:p>
    <w:p>
      <w:pPr>
        <w:numPr>
          <w:ilvl w:val="4"/>
          <w:numId w:val="104"/>
        </w:numPr>
      </w:pPr>
      <w:r>
        <w:t>デジタルリテラシーの浸透に向けたツール</w:t>
      </w:r>
    </w:p>
    <w:p>
      <w:pPr>
        <w:numPr>
          <w:ilvl w:val="5"/>
          <w:numId w:val="104"/>
        </w:numPr>
      </w:pPr>
      <w:r>
        <w:t>デジタル変革の推進による、より良い社会（Society5.0）の創出に向けて、ビジネスパーソンが身につけるべきデジタルリテラシー領域「Di-Lite」を示すために、デジタルに関連して習得すべきスキルや知識・マインドを構造的に全体像として表したもの。</w:t>
      </w:r>
    </w:p>
    <w:p>
      <w:pPr>
        <w:numPr>
          <w:ilvl w:val="4"/>
          <w:numId w:val="104"/>
        </w:numPr>
      </w:pPr>
      <w:r>
        <w:t>デジタルリテラシー領域「Di-Lite」</w:t>
      </w:r>
    </w:p>
    <w:p>
      <w:pPr>
        <w:numPr>
          <w:ilvl w:val="5"/>
          <w:numId w:val="104"/>
        </w:numPr>
      </w:pPr>
      <w:r>
        <w:t>デジタル技術の進展に合わせた網羅的なデジタルリテラシーとして、IT・データサイエンス・AIを使うための基礎的なスキル・知識・マインド</w:t>
      </w:r>
    </w:p>
    <w:p>
      <w:pPr>
        <w:numPr>
          <w:ilvl w:val="5"/>
          <w:numId w:val="104"/>
        </w:numPr>
      </w:pPr>
      <w:r>
        <w:t>マインド</w:t>
      </w:r>
    </w:p>
    <w:p>
      <w:pPr>
        <w:numPr>
          <w:ilvl w:val="6"/>
          <w:numId w:val="104"/>
        </w:numPr>
      </w:pPr>
      <w:r>
        <w:t>デジタルに取り組むスタンス、マインド</w:t>
      </w:r>
    </w:p>
    <w:p>
      <w:pPr>
        <w:numPr>
          <w:ilvl w:val="5"/>
          <w:numId w:val="104"/>
        </w:numPr>
      </w:pPr>
      <w:r>
        <w:t>知識体系</w:t>
      </w:r>
    </w:p>
    <w:p>
      <w:pPr>
        <w:numPr>
          <w:ilvl w:val="6"/>
          <w:numId w:val="104"/>
        </w:numPr>
      </w:pPr>
      <w:r>
        <w:t>デジタル活用分野/適用事例</w:t>
      </w:r>
    </w:p>
    <w:p>
      <w:pPr>
        <w:numPr>
          <w:ilvl w:val="6"/>
          <w:numId w:val="104"/>
        </w:numPr>
      </w:pPr>
      <w:r>
        <w:t>デジタル知識</w:t>
      </w:r>
    </w:p>
    <w:p>
      <w:pPr>
        <w:numPr>
          <w:ilvl w:val="5"/>
          <w:numId w:val="104"/>
        </w:numPr>
      </w:pPr>
      <w:r>
        <w:t>スキル</w:t>
      </w:r>
    </w:p>
    <w:p>
      <w:pPr>
        <w:numPr>
          <w:ilvl w:val="6"/>
          <w:numId w:val="104"/>
        </w:numPr>
      </w:pPr>
      <w:r>
        <w:t>基礎</w:t>
      </w:r>
    </w:p>
    <w:p>
      <w:pPr>
        <w:numPr>
          <w:ilvl w:val="7"/>
          <w:numId w:val="104"/>
        </w:numPr>
      </w:pPr>
      <w:r>
        <w:t>使う、作る/なおす</w:t>
      </w:r>
    </w:p>
    <w:p>
      <w:pPr>
        <w:numPr>
          <w:ilvl w:val="6"/>
          <w:numId w:val="104"/>
        </w:numPr>
      </w:pPr>
      <w:r>
        <w:t>応用</w:t>
      </w:r>
    </w:p>
    <w:p>
      <w:pPr>
        <w:numPr>
          <w:ilvl w:val="7"/>
          <w:numId w:val="104"/>
        </w:numPr>
      </w:pPr>
      <w:r>
        <w:t>より上手に使う/広める</w:t>
      </w:r>
    </w:p>
    <w:p>
      <w:pPr>
        <w:numPr>
          <w:ilvl w:val="7"/>
          <w:numId w:val="104"/>
        </w:numPr>
      </w:pPr>
      <w:r>
        <w:t>発想する/活用方針を示す</w:t>
      </w:r>
    </w:p>
    <w:p>
      <w:pPr>
        <w:numPr>
          <w:ilvl w:val="7"/>
          <w:numId w:val="104"/>
        </w:numPr>
      </w:pPr>
      <w:r>
        <w:t>新たに作る/教える</w:t>
      </w:r>
    </w:p>
    <w:p>
      <w:pPr>
        <w:numPr>
          <w:ilvl w:val="5"/>
          <w:numId w:val="104"/>
        </w:numPr>
      </w:pPr>
      <w:r>
        <w:t>対象者</w:t>
      </w:r>
    </w:p>
    <w:p>
      <w:pPr>
        <w:numPr>
          <w:ilvl w:val="6"/>
          <w:numId w:val="104"/>
        </w:numPr>
      </w:pPr>
      <w:r>
        <w:t>利用者</w:t>
      </w:r>
    </w:p>
    <w:p>
      <w:pPr>
        <w:numPr>
          <w:ilvl w:val="6"/>
          <w:numId w:val="104"/>
        </w:numPr>
      </w:pPr>
      <w:r>
        <w:t>企画者</w:t>
      </w:r>
    </w:p>
    <w:p>
      <w:pPr>
        <w:numPr>
          <w:ilvl w:val="6"/>
          <w:numId w:val="104"/>
        </w:numPr>
      </w:pPr>
      <w:r>
        <w:t>経営者/責任者</w:t>
      </w:r>
    </w:p>
    <w:p>
      <w:pPr>
        <w:numPr>
          <w:ilvl w:val="6"/>
          <w:numId w:val="104"/>
        </w:numPr>
      </w:pPr>
      <w:r>
        <w:t>エンジニア</w:t>
      </w:r>
    </w:p>
    <w:p>
      <w:pPr>
        <w:pStyle w:val="Heading3"/>
        <w:numPr>
          <w:ilvl w:val="2"/>
          <w:numId w:val="104"/>
        </w:numPr>
      </w:pPr>
      <w:r>
        <w:t>「デジタルリテラシー協議会」</w:t>
      </w:r>
    </w:p>
    <w:p>
      <w:pPr>
        <w:pStyle w:val="Heading4"/>
        <w:numPr>
          <w:ilvl w:val="3"/>
          <w:numId w:val="104"/>
        </w:numPr>
      </w:pPr>
      <w:r>
        <w:t>構成組織</w:t>
      </w:r>
    </w:p>
    <w:p>
      <w:pPr>
        <w:numPr>
          <w:ilvl w:val="4"/>
          <w:numId w:val="104"/>
        </w:numPr>
      </w:pPr>
      <w:r>
        <w:t>一般社団法人データサイエンティスト協会（DSS)</w:t>
      </w:r>
    </w:p>
    <w:p>
      <w:pPr>
        <w:numPr>
          <w:ilvl w:val="4"/>
          <w:numId w:val="104"/>
        </w:numPr>
      </w:pPr>
      <w:r>
        <w:t>一般社団法人日本ディープラーニング協会（JDLA)</w:t>
      </w:r>
    </w:p>
    <w:p>
      <w:pPr>
        <w:numPr>
          <w:ilvl w:val="4"/>
          <w:numId w:val="104"/>
        </w:numPr>
      </w:pPr>
      <w:r>
        <w:t>独立行政法人情報処理推進機構（IPA)</w:t>
      </w:r>
    </w:p>
    <w:p>
      <w:pPr>
        <w:pStyle w:val="Heading4"/>
        <w:numPr>
          <w:ilvl w:val="3"/>
          <w:numId w:val="104"/>
        </w:numPr>
      </w:pPr>
      <w:r>
        <w:t>取り組み</w:t>
      </w:r>
    </w:p>
    <w:p>
      <w:pPr>
        <w:numPr>
          <w:ilvl w:val="4"/>
          <w:numId w:val="104"/>
        </w:numPr>
      </w:pPr>
      <w:r>
        <w:t>産業界において日本がグローバルで戦うための競争力の源泉となる人材の育成を目指し、官民連携の会議体を運営し協議・情報発信を行う。</w:t>
      </w:r>
    </w:p>
    <w:p>
      <w:pPr>
        <w:numPr>
          <w:ilvl w:val="5"/>
          <w:numId w:val="104"/>
        </w:numPr>
      </w:pPr>
      <w:r>
        <w:t>「データ×AI」活用に関する教育環境を整える</w:t>
      </w:r>
    </w:p>
    <w:p>
      <w:pPr>
        <w:numPr>
          <w:ilvl w:val="5"/>
          <w:numId w:val="104"/>
        </w:numPr>
      </w:pPr>
      <w:r>
        <w:t>デジタルリテラシーの見える化</w:t>
      </w:r>
    </w:p>
    <w:p>
      <w:pPr>
        <w:numPr>
          <w:ilvl w:val="5"/>
          <w:numId w:val="104"/>
        </w:numPr>
      </w:pPr>
      <w:r>
        <w:t>すべてのビジネスパーソンが共通言語としてデジタルリテラシーを身につけた状態を達成を目指す</w:t>
      </w:r>
    </w:p>
    <w:p>
      <w:pPr>
        <w:numPr>
          <w:ilvl w:val="4"/>
          <w:numId w:val="104"/>
        </w:numPr>
      </w:pPr>
      <w:r>
        <w:t>協議結果を各団体が実施する検定や試験のシラバスにも反映する</w:t>
      </w:r>
    </w:p>
    <w:p>
      <w:pPr>
        <w:numPr>
          <w:ilvl w:val="5"/>
          <w:numId w:val="104"/>
        </w:numPr>
      </w:pPr>
      <w:r>
        <w:t>ITパスポート試験（IPA実施)</w:t>
      </w:r>
    </w:p>
    <w:p>
      <w:pPr>
        <w:numPr>
          <w:ilvl w:val="5"/>
          <w:numId w:val="104"/>
        </w:numPr>
      </w:pPr>
      <w:r>
        <w:t>データサイエンティスト検定リテラシーレベル（JDLA実施)</w:t>
      </w:r>
    </w:p>
    <w:p>
      <w:pPr>
        <w:numPr>
          <w:ilvl w:val="5"/>
          <w:numId w:val="104"/>
        </w:numPr>
      </w:pPr>
      <w:r>
        <w:t>G検定（JDLA実施)</w:t>
      </w:r>
    </w:p>
    <w:p>
      <w:pPr>
        <w:numPr>
          <w:ilvl w:val="4"/>
          <w:numId w:val="104"/>
        </w:numPr>
      </w:pPr>
      <w:r>
        <w:t>「Di-Lite」の設定や浸透活用、及び「Di-Lite」をはじめとするデジタルリテラシー・スキル習得を助けるためのツール提供も行う。</w:t>
      </w:r>
    </w:p>
    <w:p>
      <w:pPr>
        <w:pStyle w:val="Heading4"/>
        <w:numPr>
          <w:ilvl w:val="3"/>
          <w:numId w:val="104"/>
        </w:numPr>
      </w:pPr>
      <w:r>
        <w:t>活動内容</w:t>
      </w:r>
    </w:p>
    <w:p>
      <w:pPr>
        <w:numPr>
          <w:ilvl w:val="4"/>
          <w:numId w:val="104"/>
        </w:numPr>
      </w:pPr>
      <w:r>
        <w:t>「Di-Lite」に関する協議（見直しと再定義）</w:t>
      </w:r>
    </w:p>
    <w:p>
      <w:pPr>
        <w:numPr>
          <w:ilvl w:val="5"/>
          <w:numId w:val="104"/>
        </w:numPr>
      </w:pPr>
      <w:r>
        <w:t>(1)産業界やユーザーの声を反映した「Di-Lite」の更新</w:t>
      </w:r>
    </w:p>
    <w:p>
      <w:pPr>
        <w:numPr>
          <w:ilvl w:val="5"/>
          <w:numId w:val="104"/>
        </w:numPr>
      </w:pPr>
      <w:r>
        <w:t>(2)デジタル技術の進化に合わせたデジタルリテラシー領域の網羅性確認</w:t>
      </w:r>
    </w:p>
    <w:p>
      <w:pPr>
        <w:numPr>
          <w:ilvl w:val="5"/>
          <w:numId w:val="104"/>
        </w:numPr>
      </w:pPr>
      <w:r>
        <w:t>(3)各参加団体の実施する検定や資格制度の連携</w:t>
      </w:r>
    </w:p>
    <w:p>
      <w:pPr>
        <w:numPr>
          <w:ilvl w:val="4"/>
          <w:numId w:val="104"/>
        </w:numPr>
      </w:pPr>
      <w:r>
        <w:t>デジタルリテラシーの浸透に向けたツール類の提供</w:t>
      </w:r>
    </w:p>
    <w:p>
      <w:pPr>
        <w:numPr>
          <w:ilvl w:val="5"/>
          <w:numId w:val="104"/>
        </w:numPr>
      </w:pPr>
      <w:r>
        <w:t>(1)デジタルリテラシー・スキルフレームワークの提供</w:t>
      </w:r>
    </w:p>
    <w:p>
      <w:pPr>
        <w:numPr>
          <w:ilvl w:val="5"/>
          <w:numId w:val="104"/>
        </w:numPr>
      </w:pPr>
      <w:r>
        <w:t>(2)デジタルスキルラーニングパスの提供</w:t>
      </w:r>
    </w:p>
    <w:p>
      <w:pPr>
        <w:numPr>
          <w:ilvl w:val="4"/>
          <w:numId w:val="104"/>
        </w:numPr>
      </w:pPr>
      <w:r>
        <w:t>企業に向けた普及・啓発活動の共同推進</w:t>
      </w:r>
    </w:p>
    <w:p>
      <w:pPr>
        <w:numPr>
          <w:ilvl w:val="5"/>
          <w:numId w:val="104"/>
        </w:numPr>
      </w:pPr>
      <w:r>
        <w:t>(1)展示会、セミナー等における普及啓発の実施、充実化</w:t>
      </w:r>
    </w:p>
    <w:p>
      <w:pPr>
        <w:numPr>
          <w:ilvl w:val="5"/>
          <w:numId w:val="104"/>
        </w:numPr>
      </w:pPr>
      <w:r>
        <w:t>(2)記事の掲載等、ビジネスパーソン向け情報発信の充実化</w:t>
      </w:r>
    </w:p>
    <w:p>
      <w:pPr>
        <w:numPr>
          <w:ilvl w:val="0"/>
          <w:numId w:val="0"/>
        </w:numPr>
        <w:sectPr w:rsidSect="00F019F0">
          <w:headerReference w:type="even" r:id="rId7"/>
          <w:headerReference w:type="default" r:id="rId8"/>
          <w:footerReference w:type="even" r:id="rId9"/>
          <w:footerReference w:type="default" r:id="rId10"/>
          <w:headerReference w:type="first" r:id="rId11"/>
          <w:footerReference w:type="first" r:id="rId12"/>
          <w:pgSz w:w="11906" w:h="16838" w:code="9"/>
          <w:pgMar w:top="1418" w:right="1701" w:bottom="1134" w:left="1701" w:header="851" w:footer="992" w:gutter="0"/>
          <w:cols w:space="104"/>
          <w:docGrid w:type="lines" w:linePitch="360"/>
        </w:sectPr>
      </w:pPr>
    </w:p>
    <w:p/>
    <w:sectPr w:rsidSect="00DC121D">
      <w:footerReference w:type="even" r:id="rId13"/>
      <w:footerReference w:type="default" r:id="rId14"/>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bullet"/>
      <w:lvlJc w:val="left"/>
      <w:pPr>
        <w:tabs>
          <w:tab w:val="num" w:pos="0"/>
        </w:tabs>
        <w:ind w:left="0" w:firstLine="0"/>
      </w:pPr>
      <w:rPr>
        <w:rFonts w:ascii="Wingdings" w:hAnsi="Wingdings"/>
      </w:rPr>
    </w:lvl>
    <w:lvl w:ilvl="1">
      <w:start w:val="1"/>
      <w:numFmt w:val="bullet"/>
      <w:lvlJc w:val="left"/>
      <w:pPr>
        <w:tabs>
          <w:tab w:val="num" w:pos="360"/>
        </w:tabs>
        <w:ind w:left="360" w:firstLine="0"/>
      </w:pPr>
      <w:rPr>
        <w:rFonts w:ascii="Wingdings" w:hAnsi="Wingdings"/>
      </w:rPr>
    </w:lvl>
    <w:lvl w:ilvl="2">
      <w:start w:val="1"/>
      <w:numFmt w:val="bullet"/>
      <w:lvlJc w:val="left"/>
      <w:pPr>
        <w:tabs>
          <w:tab w:val="num" w:pos="720"/>
        </w:tabs>
        <w:ind w:left="720" w:firstLine="0"/>
      </w:pPr>
      <w:rPr>
        <w:rFonts w:ascii="Wingdings" w:hAnsi="Wingdings"/>
      </w:rPr>
    </w:lvl>
    <w:lvl w:ilvl="3">
      <w:start w:val="1"/>
      <w:numFmt w:val="bullet"/>
      <w:lvlJc w:val="left"/>
      <w:pPr>
        <w:tabs>
          <w:tab w:val="num" w:pos="1080"/>
        </w:tabs>
        <w:ind w:left="1080" w:firstLine="0"/>
      </w:pPr>
      <w:rPr>
        <w:rFonts w:ascii="Symbol" w:hAnsi="Symbol"/>
      </w:rPr>
    </w:lvl>
    <w:lvl w:ilvl="4">
      <w:start w:val="1"/>
      <w:numFmt w:val="bullet"/>
      <w:lvlJc w:val="left"/>
      <w:pPr>
        <w:tabs>
          <w:tab w:val="num" w:pos="1440"/>
        </w:tabs>
        <w:ind w:left="1440" w:firstLine="0"/>
      </w:pPr>
      <w:rPr>
        <w:rFonts w:ascii="Symbol" w:hAnsi="Symbol"/>
      </w:rPr>
    </w:lvl>
    <w:lvl w:ilvl="5">
      <w:start w:val="1"/>
      <w:numFmt w:val="bullet"/>
      <w:lvlJc w:val="left"/>
      <w:pPr>
        <w:tabs>
          <w:tab w:val="num" w:pos="1440"/>
        </w:tabs>
        <w:ind w:left="1440" w:firstLine="0"/>
      </w:pPr>
      <w:rPr>
        <w:rFonts w:ascii="Wingdings" w:hAnsi="Wingdings"/>
      </w:rPr>
    </w:lvl>
    <w:lvl w:ilvl="6">
      <w:start w:val="1"/>
      <w:numFmt w:val="bullet"/>
      <w:lvlJc w:val="left"/>
      <w:pPr>
        <w:tabs>
          <w:tab w:val="num" w:pos="1440"/>
        </w:tabs>
        <w:ind w:left="1440" w:firstLine="0"/>
      </w:pPr>
      <w:rPr>
        <w:rFonts w:ascii="Wingdings" w:hAnsi="Wingdings"/>
      </w:rPr>
    </w:lvl>
    <w:lvl w:ilvl="7">
      <w:start w:val="1"/>
      <w:numFmt w:val="bullet"/>
      <w:lvlJc w:val="left"/>
      <w:pPr>
        <w:tabs>
          <w:tab w:val="num" w:pos="1440"/>
        </w:tabs>
        <w:ind w:left="1440" w:firstLine="0"/>
      </w:pPr>
      <w:rPr>
        <w:rFonts w:ascii="Symbol" w:hAnsi="Symbol"/>
      </w:rPr>
    </w:lvl>
    <w:lvl w:ilvl="8">
      <w:start w:val="1"/>
      <w:numFmt w:val="bullet"/>
      <w:lvlJc w:val="left"/>
      <w:pPr>
        <w:tabs>
          <w:tab w:val="num" w:pos="1440"/>
        </w:tabs>
        <w:ind w:left="1440" w:firstLine="0"/>
      </w:pPr>
      <w:rPr>
        <w:rFonts w:ascii="Symbol" w:hAnsi="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3</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