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E12A" w14:textId="77777777" w:rsidR="006D1AF2" w:rsidRDefault="00E572BA">
      <w:pPr>
        <w:pStyle w:val="MMPriority"/>
        <w:numPr>
          <w:ilvl w:val="0"/>
          <w:numId w:val="1"/>
        </w:numPr>
        <w:rPr>
          <w:vanish/>
          <w:color w:val="FF0303"/>
          <w:sz w:val="24"/>
          <w:specVanish/>
        </w:rPr>
      </w:pPr>
      <w:r>
        <w:rPr>
          <w:noProof/>
          <w:color w:val="FF0303"/>
          <w:sz w:val="24"/>
        </w:rPr>
        <w:drawing>
          <wp:inline distT="0" distB="0" distL="0" distR="0" wp14:anchorId="0ACEE194" wp14:editId="0ACEE195">
            <wp:extent cx="152400" cy="1524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2B" w14:textId="77777777" w:rsidR="006D1AF2" w:rsidRDefault="00E572BA">
      <w:pPr>
        <w:pStyle w:val="MMTopicInfo"/>
        <w:ind w:left="520"/>
        <w:rPr>
          <w:vanish/>
          <w:color w:val="FF0303"/>
          <w:sz w:val="24"/>
          <w:lang w:eastAsia="ja-JP"/>
          <w:specVanish/>
        </w:rPr>
      </w:pPr>
      <w:r>
        <w:rPr>
          <w:color w:val="FF0303"/>
          <w:sz w:val="24"/>
          <w:lang w:eastAsia="ja-JP"/>
        </w:rPr>
        <w:t xml:space="preserve"> </w:t>
      </w:r>
    </w:p>
    <w:p w14:paraId="0ACEE12C" w14:textId="35EA3195" w:rsidR="006D1AF2" w:rsidRDefault="00E572BA">
      <w:pPr>
        <w:pStyle w:val="MMTopic1"/>
        <w:ind w:left="520"/>
        <w:rPr>
          <w:lang w:eastAsia="ja-JP"/>
        </w:rPr>
      </w:pPr>
      <w:r>
        <w:rPr>
          <w:color w:val="FF0303"/>
          <w:lang w:eastAsia="ja-JP"/>
        </w:rPr>
        <w:t>Sec01-08-2-2_</w:t>
      </w:r>
      <w:r>
        <w:rPr>
          <w:color w:val="FF0303"/>
          <w:lang w:eastAsia="ja-JP"/>
        </w:rPr>
        <w:t>組織の位置づけと</w:t>
      </w:r>
      <w:r w:rsidR="00265F2D">
        <w:rPr>
          <w:rFonts w:hint="eastAsia"/>
          <w:color w:val="FF0303"/>
          <w:lang w:eastAsia="ja-JP"/>
        </w:rPr>
        <w:t>専門員</w:t>
      </w:r>
      <w:r>
        <w:rPr>
          <w:color w:val="FF0303"/>
          <w:lang w:eastAsia="ja-JP"/>
        </w:rPr>
        <w:t>業務実施姿勢</w:t>
      </w:r>
    </w:p>
    <w:p w14:paraId="0ACEE12D" w14:textId="77777777" w:rsidR="006D1AF2" w:rsidRDefault="00E572BA">
      <w:pPr>
        <w:pStyle w:val="MMPriority"/>
        <w:numPr>
          <w:ilvl w:val="1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96" wp14:editId="0ACEE197">
            <wp:extent cx="127000" cy="1270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2E" w14:textId="77777777" w:rsidR="006D1AF2" w:rsidRDefault="00E572BA">
      <w:pPr>
        <w:pStyle w:val="MMTopicInfo"/>
        <w:ind w:left="1040"/>
        <w:rPr>
          <w:vanish/>
          <w:color w:val="000000"/>
          <w:sz w:val="20"/>
          <w:lang w:eastAsia="ja-JP"/>
          <w:specVanish/>
        </w:rPr>
      </w:pPr>
      <w:r>
        <w:rPr>
          <w:color w:val="000000"/>
          <w:sz w:val="20"/>
          <w:lang w:eastAsia="ja-JP"/>
        </w:rPr>
        <w:t xml:space="preserve"> </w:t>
      </w:r>
    </w:p>
    <w:p w14:paraId="0ACEE12F" w14:textId="77777777" w:rsidR="006D1AF2" w:rsidRDefault="00E572BA">
      <w:pPr>
        <w:pStyle w:val="MMTopic2"/>
        <w:ind w:left="1040"/>
        <w:rPr>
          <w:lang w:eastAsia="ja-JP"/>
        </w:rPr>
      </w:pPr>
      <w:r>
        <w:rPr>
          <w:lang w:eastAsia="ja-JP"/>
        </w:rPr>
        <w:t>商工部として中小企業の事業の発展を支援</w:t>
      </w:r>
    </w:p>
    <w:p w14:paraId="0ACEE130" w14:textId="77777777" w:rsidR="006D1AF2" w:rsidRDefault="00E572BA">
      <w:pPr>
        <w:pStyle w:val="MMTopic3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経営支援課の中小企業の発展のための施策の１つとして、</w:t>
      </w:r>
      <w:r>
        <w:rPr>
          <w:lang w:eastAsia="ja-JP"/>
        </w:rPr>
        <w:t>IT</w:t>
      </w:r>
      <w:r>
        <w:rPr>
          <w:lang w:eastAsia="ja-JP"/>
        </w:rPr>
        <w:t>活用の推進があり、</w:t>
      </w:r>
      <w:r>
        <w:rPr>
          <w:lang w:eastAsia="ja-JP"/>
        </w:rPr>
        <w:t>IT</w:t>
      </w:r>
      <w:r>
        <w:rPr>
          <w:lang w:eastAsia="ja-JP"/>
        </w:rPr>
        <w:t>活用を阻害する要因の１つとしてセキュリティ対策を考える</w:t>
      </w:r>
    </w:p>
    <w:p w14:paraId="0ACEE131" w14:textId="77777777" w:rsidR="006D1AF2" w:rsidRDefault="00E572BA">
      <w:pPr>
        <w:pStyle w:val="MMIcon"/>
        <w:numPr>
          <w:ilvl w:val="1"/>
          <w:numId w:val="1"/>
        </w:numPr>
        <w:rPr>
          <w:vanish/>
          <w:color w:val="0303FF"/>
          <w:sz w:val="20"/>
          <w:specVanish/>
        </w:rPr>
      </w:pPr>
      <w:r>
        <w:rPr>
          <w:noProof/>
          <w:color w:val="0303FF"/>
          <w:sz w:val="20"/>
        </w:rPr>
        <w:drawing>
          <wp:inline distT="0" distB="0" distL="0" distR="0" wp14:anchorId="0ACEE198" wp14:editId="0ACEE199">
            <wp:extent cx="127000" cy="1270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32" w14:textId="77777777" w:rsidR="006D1AF2" w:rsidRDefault="00E572BA">
      <w:pPr>
        <w:pStyle w:val="MMTopicInfo"/>
        <w:ind w:left="1040"/>
        <w:rPr>
          <w:vanish/>
          <w:color w:val="0303FF"/>
          <w:sz w:val="20"/>
          <w:specVanish/>
        </w:rPr>
      </w:pPr>
      <w:r>
        <w:rPr>
          <w:color w:val="0303FF"/>
          <w:sz w:val="20"/>
        </w:rPr>
        <w:t xml:space="preserve"> </w:t>
      </w:r>
    </w:p>
    <w:p w14:paraId="0ACEE133" w14:textId="77777777" w:rsidR="006D1AF2" w:rsidRDefault="00E572BA">
      <w:pPr>
        <w:pStyle w:val="MMPriority"/>
        <w:ind w:left="1040"/>
        <w:rPr>
          <w:vanish/>
          <w:color w:val="0303FF"/>
          <w:sz w:val="20"/>
          <w:specVanish/>
        </w:rPr>
      </w:pPr>
      <w:r>
        <w:rPr>
          <w:noProof/>
          <w:color w:val="0303FF"/>
          <w:sz w:val="20"/>
        </w:rPr>
        <w:drawing>
          <wp:inline distT="0" distB="0" distL="0" distR="0" wp14:anchorId="0ACEE19A" wp14:editId="0ACEE19B">
            <wp:extent cx="127000" cy="1270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34" w14:textId="77777777" w:rsidR="006D1AF2" w:rsidRDefault="00E572BA">
      <w:pPr>
        <w:pStyle w:val="MMTopicInfo"/>
        <w:ind w:left="1040"/>
        <w:rPr>
          <w:vanish/>
          <w:color w:val="0303FF"/>
          <w:sz w:val="20"/>
          <w:specVanish/>
        </w:rPr>
      </w:pPr>
      <w:r>
        <w:rPr>
          <w:color w:val="0303FF"/>
          <w:sz w:val="20"/>
        </w:rPr>
        <w:t xml:space="preserve"> </w:t>
      </w:r>
    </w:p>
    <w:p w14:paraId="0ACEE135" w14:textId="77777777" w:rsidR="006D1AF2" w:rsidRDefault="00E572BA">
      <w:pPr>
        <w:pStyle w:val="MMTopic2"/>
        <w:ind w:left="1040"/>
      </w:pPr>
      <w:r>
        <w:rPr>
          <w:color w:val="0303FF"/>
        </w:rPr>
        <w:t>中小企業支援の戦略</w:t>
      </w:r>
    </w:p>
    <w:p w14:paraId="0ACEE136" w14:textId="77777777" w:rsidR="006D1AF2" w:rsidRDefault="00E572BA">
      <w:pPr>
        <w:pStyle w:val="MMPriority"/>
        <w:numPr>
          <w:ilvl w:val="2"/>
          <w:numId w:val="1"/>
        </w:numPr>
        <w:rPr>
          <w:vanish/>
          <w:color w:val="FF0000"/>
          <w:sz w:val="20"/>
          <w:specVanish/>
        </w:rPr>
      </w:pPr>
      <w:r>
        <w:rPr>
          <w:noProof/>
          <w:color w:val="FF0000"/>
          <w:sz w:val="20"/>
        </w:rPr>
        <w:drawing>
          <wp:inline distT="0" distB="0" distL="0" distR="0" wp14:anchorId="0ACEE19C" wp14:editId="0ACEE19D">
            <wp:extent cx="127000" cy="127000"/>
            <wp:effectExtent l="0" t="0" r="0" b="0"/>
            <wp:docPr id="100009" name="図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37" w14:textId="77777777" w:rsidR="006D1AF2" w:rsidRDefault="00E572BA">
      <w:pPr>
        <w:pStyle w:val="MMTopicInfo"/>
        <w:ind w:left="1560"/>
        <w:rPr>
          <w:vanish/>
          <w:color w:val="FF0000"/>
          <w:sz w:val="20"/>
          <w:lang w:eastAsia="ja-JP"/>
          <w:specVanish/>
        </w:rPr>
      </w:pPr>
      <w:r>
        <w:rPr>
          <w:color w:val="FF0000"/>
          <w:sz w:val="20"/>
          <w:lang w:eastAsia="ja-JP"/>
        </w:rPr>
        <w:t xml:space="preserve"> </w:t>
      </w:r>
    </w:p>
    <w:p w14:paraId="0ACEE138" w14:textId="77777777" w:rsidR="006D1AF2" w:rsidRDefault="00E572BA">
      <w:pPr>
        <w:pStyle w:val="MMTopic3"/>
        <w:ind w:left="1560"/>
        <w:rPr>
          <w:lang w:eastAsia="ja-JP"/>
        </w:rPr>
      </w:pPr>
      <w:r>
        <w:rPr>
          <w:color w:val="FF0000"/>
          <w:lang w:eastAsia="ja-JP"/>
        </w:rPr>
        <w:t>専門員は、中小企業において、「経営者、システム管理者が、「デジタルリテラシー」の知識とスキルを得て、</w:t>
      </w:r>
      <w:r>
        <w:rPr>
          <w:color w:val="FF0000"/>
          <w:lang w:eastAsia="ja-JP"/>
        </w:rPr>
        <w:t>①</w:t>
      </w:r>
      <w:r>
        <w:rPr>
          <w:color w:val="FF0000"/>
          <w:lang w:eastAsia="ja-JP"/>
        </w:rPr>
        <w:t>守りの</w:t>
      </w:r>
      <w:r>
        <w:rPr>
          <w:color w:val="FF0000"/>
          <w:lang w:eastAsia="ja-JP"/>
        </w:rPr>
        <w:t>IT</w:t>
      </w:r>
      <w:r>
        <w:rPr>
          <w:color w:val="FF0000"/>
          <w:lang w:eastAsia="ja-JP"/>
        </w:rPr>
        <w:t>・セキュリティ対策に留まらず、</w:t>
      </w:r>
      <w:r>
        <w:rPr>
          <w:color w:val="FF0000"/>
          <w:lang w:eastAsia="ja-JP"/>
        </w:rPr>
        <w:t>②</w:t>
      </w:r>
      <w:r>
        <w:rPr>
          <w:color w:val="FF0000"/>
          <w:lang w:eastAsia="ja-JP"/>
        </w:rPr>
        <w:t>事業を発展させるためのの攻めの</w:t>
      </w:r>
      <w:r>
        <w:rPr>
          <w:color w:val="FF0000"/>
          <w:lang w:eastAsia="ja-JP"/>
        </w:rPr>
        <w:t>IT</w:t>
      </w:r>
      <w:r>
        <w:rPr>
          <w:color w:val="FF0000"/>
          <w:lang w:eastAsia="ja-JP"/>
        </w:rPr>
        <w:t>・セキュリティ対策を講じことを支援する。</w:t>
      </w:r>
    </w:p>
    <w:p w14:paraId="0ACEE139" w14:textId="77777777" w:rsidR="006D1AF2" w:rsidRDefault="00E572BA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※IT</w:t>
      </w:r>
      <w:r>
        <w:rPr>
          <w:lang w:eastAsia="ja-JP"/>
        </w:rPr>
        <w:t>の知識を持たずにセキュリティ対策を講じることは困難。セキュリティ対策は、</w:t>
      </w:r>
      <w:r>
        <w:rPr>
          <w:lang w:eastAsia="ja-JP"/>
        </w:rPr>
        <w:t>IT</w:t>
      </w:r>
      <w:r>
        <w:rPr>
          <w:lang w:eastAsia="ja-JP"/>
        </w:rPr>
        <w:t>活用の推進の中でセキュリティバイデザインの考え方で対処する</w:t>
      </w:r>
    </w:p>
    <w:p w14:paraId="0ACEE13A" w14:textId="77777777" w:rsidR="006D1AF2" w:rsidRDefault="00E572BA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color w:val="FF0000"/>
          <w:lang w:eastAsia="ja-JP"/>
        </w:rPr>
        <w:t>②</w:t>
      </w:r>
      <w:r>
        <w:rPr>
          <w:color w:val="FF0000"/>
          <w:lang w:eastAsia="ja-JP"/>
        </w:rPr>
        <w:t>守りの</w:t>
      </w:r>
      <w:r>
        <w:rPr>
          <w:color w:val="FF0000"/>
          <w:lang w:eastAsia="ja-JP"/>
        </w:rPr>
        <w:t>IT</w:t>
      </w:r>
      <w:r>
        <w:rPr>
          <w:color w:val="FF0000"/>
          <w:lang w:eastAsia="ja-JP"/>
        </w:rPr>
        <w:t>・セキュリティ対策</w:t>
      </w:r>
    </w:p>
    <w:p w14:paraId="0ACEE13B" w14:textId="77777777" w:rsidR="006D1AF2" w:rsidRDefault="00E572BA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color w:val="FF0000"/>
          <w:lang w:eastAsia="ja-JP"/>
        </w:rPr>
        <w:t>①</w:t>
      </w:r>
      <w:r>
        <w:rPr>
          <w:color w:val="FF0000"/>
          <w:lang w:eastAsia="ja-JP"/>
        </w:rPr>
        <w:t>攻めの</w:t>
      </w:r>
      <w:r>
        <w:rPr>
          <w:color w:val="FF0000"/>
          <w:lang w:eastAsia="ja-JP"/>
        </w:rPr>
        <w:t>IT</w:t>
      </w:r>
      <w:r>
        <w:rPr>
          <w:color w:val="FF0000"/>
          <w:lang w:eastAsia="ja-JP"/>
        </w:rPr>
        <w:t>・セキュリティ対策</w:t>
      </w:r>
    </w:p>
    <w:p w14:paraId="0ACEE13C" w14:textId="77777777" w:rsidR="006D1AF2" w:rsidRDefault="00E572BA">
      <w:pPr>
        <w:pStyle w:val="MMPriority"/>
        <w:numPr>
          <w:ilvl w:val="2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9E" wp14:editId="0ACEE19F">
            <wp:extent cx="127000" cy="127000"/>
            <wp:effectExtent l="0" t="0" r="0" b="0"/>
            <wp:docPr id="100011" name="図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3D" w14:textId="77777777" w:rsidR="006D1AF2" w:rsidRDefault="00E572BA">
      <w:pPr>
        <w:pStyle w:val="MMTopicInfo"/>
        <w:ind w:left="1560"/>
        <w:rPr>
          <w:vanish/>
          <w:color w:val="000000"/>
          <w:sz w:val="20"/>
          <w:lang w:eastAsia="ja-JP"/>
          <w:specVanish/>
        </w:rPr>
      </w:pPr>
      <w:r>
        <w:rPr>
          <w:color w:val="000000"/>
          <w:sz w:val="20"/>
          <w:lang w:eastAsia="ja-JP"/>
        </w:rPr>
        <w:t xml:space="preserve"> </w:t>
      </w:r>
    </w:p>
    <w:p w14:paraId="0ACEE13E" w14:textId="77777777" w:rsidR="006D1AF2" w:rsidRDefault="00E572BA">
      <w:pPr>
        <w:pStyle w:val="MMTopic3"/>
        <w:ind w:left="1560"/>
        <w:rPr>
          <w:lang w:eastAsia="ja-JP"/>
        </w:rPr>
      </w:pPr>
      <w:r>
        <w:rPr>
          <w:color w:val="FF0000"/>
          <w:lang w:eastAsia="ja-JP"/>
        </w:rPr>
        <w:t>「デジタルリテラシー」習得の啓発、推進</w:t>
      </w:r>
    </w:p>
    <w:p w14:paraId="0ACEE13F" w14:textId="77777777" w:rsidR="006D1AF2" w:rsidRDefault="00E572BA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デジタルトランスフォーメーションの推進には、これまでの「デジタルを作る人材」だけでなく、「デジタルを使う人材」</w:t>
      </w:r>
    </w:p>
    <w:p w14:paraId="0ACEE140" w14:textId="77777777" w:rsidR="006D1AF2" w:rsidRDefault="00E572BA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中小企業が、ビジネスを発展させるためには、攻めの</w:t>
      </w:r>
      <w:r>
        <w:rPr>
          <w:lang w:eastAsia="ja-JP"/>
        </w:rPr>
        <w:t>IT</w:t>
      </w:r>
      <w:r>
        <w:rPr>
          <w:lang w:eastAsia="ja-JP"/>
        </w:rPr>
        <w:t>投資とサイバーセキュリティ対策を講ずる必要がある</w:t>
      </w:r>
    </w:p>
    <w:p w14:paraId="0ACEE141" w14:textId="77777777" w:rsidR="006D1AF2" w:rsidRDefault="00E572BA">
      <w:pPr>
        <w:pStyle w:val="MMPriority"/>
        <w:numPr>
          <w:ilvl w:val="2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A0" wp14:editId="0ACEE1A1">
            <wp:extent cx="127000" cy="127000"/>
            <wp:effectExtent l="0" t="0" r="0" b="0"/>
            <wp:docPr id="100013" name="図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42" w14:textId="77777777" w:rsidR="006D1AF2" w:rsidRDefault="00E572BA">
      <w:pPr>
        <w:pStyle w:val="MMTopicInfo"/>
        <w:ind w:left="1560"/>
        <w:rPr>
          <w:vanish/>
          <w:color w:val="000000"/>
          <w:sz w:val="20"/>
          <w:lang w:eastAsia="ja-JP"/>
          <w:specVanish/>
        </w:rPr>
      </w:pPr>
      <w:r>
        <w:rPr>
          <w:color w:val="000000"/>
          <w:sz w:val="20"/>
          <w:lang w:eastAsia="ja-JP"/>
        </w:rPr>
        <w:t xml:space="preserve"> </w:t>
      </w:r>
    </w:p>
    <w:p w14:paraId="0ACEE143" w14:textId="77777777" w:rsidR="006D1AF2" w:rsidRDefault="00E572BA">
      <w:pPr>
        <w:pStyle w:val="MMTopic3"/>
        <w:ind w:left="1560"/>
        <w:rPr>
          <w:lang w:eastAsia="ja-JP"/>
        </w:rPr>
      </w:pPr>
      <w:r>
        <w:rPr>
          <w:color w:val="FF0000"/>
          <w:lang w:eastAsia="ja-JP"/>
        </w:rPr>
        <w:t>「デジタルリテラシー・スキルフレームワーク」で網羅的・体系的に</w:t>
      </w:r>
    </w:p>
    <w:p w14:paraId="0ACEE144" w14:textId="77777777" w:rsidR="006D1AF2" w:rsidRDefault="00E572BA">
      <w:pPr>
        <w:pStyle w:val="MMTopic4"/>
        <w:numPr>
          <w:ilvl w:val="3"/>
          <w:numId w:val="1"/>
        </w:numPr>
      </w:pPr>
      <w:r>
        <w:t>概念</w:t>
      </w:r>
    </w:p>
    <w:p w14:paraId="0ACEE145" w14:textId="77777777" w:rsidR="006D1AF2" w:rsidRDefault="006D1AF2">
      <w:pPr>
        <w:pStyle w:val="MMTopic5"/>
        <w:numPr>
          <w:ilvl w:val="4"/>
          <w:numId w:val="1"/>
        </w:numPr>
      </w:pPr>
    </w:p>
    <w:p w14:paraId="0ACEE146" w14:textId="77777777" w:rsidR="006D1AF2" w:rsidRDefault="006D1AF2">
      <w:pPr>
        <w:ind w:left="1760"/>
      </w:pPr>
    </w:p>
    <w:p w14:paraId="0ACEE147" w14:textId="77777777" w:rsidR="006D1AF2" w:rsidRDefault="00E572BA">
      <w:pPr>
        <w:pStyle w:val="MMImage"/>
        <w:ind w:left="17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CEE1A2" wp14:editId="0ACEE1A3">
            <wp:simplePos x="0" y="0"/>
            <wp:positionH relativeFrom="column">
              <wp:posOffset>1117600</wp:posOffset>
            </wp:positionH>
            <wp:positionV relativeFrom="line">
              <wp:posOffset>1270</wp:posOffset>
            </wp:positionV>
            <wp:extent cx="4494530" cy="2889341"/>
            <wp:effectExtent l="0" t="0" r="0" b="0"/>
            <wp:wrapTopAndBottom/>
            <wp:docPr id="100015" name="図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288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EE148" w14:textId="77777777" w:rsidR="006D1AF2" w:rsidRDefault="00E572BA">
      <w:pPr>
        <w:pStyle w:val="MMPriority"/>
        <w:numPr>
          <w:ilvl w:val="3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A4" wp14:editId="0ACEE1A5">
            <wp:extent cx="127000" cy="127000"/>
            <wp:effectExtent l="0" t="0" r="0" b="0"/>
            <wp:docPr id="100017" name="図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49" w14:textId="77777777" w:rsidR="006D1AF2" w:rsidRDefault="00E572BA">
      <w:pPr>
        <w:pStyle w:val="MMTopicInfo"/>
        <w:ind w:left="1520"/>
        <w:rPr>
          <w:vanish/>
          <w:color w:val="000000"/>
          <w:sz w:val="20"/>
          <w:lang w:eastAsia="ja-JP"/>
          <w:specVanish/>
        </w:rPr>
      </w:pPr>
      <w:r>
        <w:rPr>
          <w:color w:val="000000"/>
          <w:sz w:val="20"/>
          <w:lang w:eastAsia="ja-JP"/>
        </w:rPr>
        <w:t xml:space="preserve"> </w:t>
      </w:r>
    </w:p>
    <w:p w14:paraId="0ACEE14A" w14:textId="77777777" w:rsidR="006D1AF2" w:rsidRDefault="00E572BA">
      <w:pPr>
        <w:pStyle w:val="MMTopic4"/>
        <w:ind w:left="1520"/>
        <w:rPr>
          <w:lang w:eastAsia="ja-JP"/>
        </w:rPr>
      </w:pPr>
      <w:r>
        <w:rPr>
          <w:lang w:eastAsia="ja-JP"/>
        </w:rPr>
        <w:t>デジタルリテラシーの浸透に向けたツール</w:t>
      </w:r>
    </w:p>
    <w:p w14:paraId="0ACEE14B" w14:textId="77777777" w:rsidR="006D1AF2" w:rsidRDefault="00E572BA">
      <w:pPr>
        <w:pStyle w:val="MMTopic5"/>
        <w:numPr>
          <w:ilvl w:val="4"/>
          <w:numId w:val="1"/>
        </w:numPr>
        <w:rPr>
          <w:lang w:eastAsia="ja-JP"/>
        </w:rPr>
      </w:pPr>
      <w:r>
        <w:rPr>
          <w:lang w:eastAsia="ja-JP"/>
        </w:rPr>
        <w:t>デジタル変革の推進による、より良い社会（</w:t>
      </w:r>
      <w:r>
        <w:rPr>
          <w:lang w:eastAsia="ja-JP"/>
        </w:rPr>
        <w:t>Society5.0</w:t>
      </w:r>
      <w:r>
        <w:rPr>
          <w:lang w:eastAsia="ja-JP"/>
        </w:rPr>
        <w:t>）の創出に向けて、ビジネスパーソンが身につけるべきデジタルリテラシー領域「</w:t>
      </w:r>
      <w:r>
        <w:rPr>
          <w:lang w:eastAsia="ja-JP"/>
        </w:rPr>
        <w:t>Di-Lite</w:t>
      </w:r>
      <w:r>
        <w:rPr>
          <w:lang w:eastAsia="ja-JP"/>
        </w:rPr>
        <w:t>」を示すために、デジタルに関連して習得すべきスキルや知識・マインドを構造的に全体像として表したもの。</w:t>
      </w:r>
    </w:p>
    <w:p w14:paraId="0ACEE14C" w14:textId="77777777" w:rsidR="006D1AF2" w:rsidRDefault="00E572BA">
      <w:pPr>
        <w:pStyle w:val="MMPriority"/>
        <w:numPr>
          <w:ilvl w:val="3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A6" wp14:editId="0ACEE1A7">
            <wp:extent cx="127000" cy="127000"/>
            <wp:effectExtent l="0" t="0" r="0" b="0"/>
            <wp:docPr id="100019" name="図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4D" w14:textId="77777777" w:rsidR="006D1AF2" w:rsidRDefault="00E572BA">
      <w:pPr>
        <w:pStyle w:val="MMTopicInfo"/>
        <w:ind w:left="1520"/>
        <w:rPr>
          <w:vanish/>
          <w:color w:val="000000"/>
          <w:sz w:val="20"/>
          <w:lang w:eastAsia="ja-JP"/>
          <w:specVanish/>
        </w:rPr>
      </w:pPr>
      <w:r>
        <w:rPr>
          <w:color w:val="000000"/>
          <w:sz w:val="20"/>
          <w:lang w:eastAsia="ja-JP"/>
        </w:rPr>
        <w:t xml:space="preserve"> </w:t>
      </w:r>
    </w:p>
    <w:p w14:paraId="0ACEE14E" w14:textId="77777777" w:rsidR="006D1AF2" w:rsidRDefault="00E572BA">
      <w:pPr>
        <w:pStyle w:val="MMTopic4"/>
        <w:ind w:left="1520"/>
        <w:rPr>
          <w:lang w:eastAsia="ja-JP"/>
        </w:rPr>
      </w:pPr>
      <w:r>
        <w:rPr>
          <w:lang w:eastAsia="ja-JP"/>
        </w:rPr>
        <w:t>デジタルリテラシー領域「</w:t>
      </w:r>
      <w:r>
        <w:rPr>
          <w:lang w:eastAsia="ja-JP"/>
        </w:rPr>
        <w:t>Di-Lite</w:t>
      </w:r>
      <w:r>
        <w:rPr>
          <w:lang w:eastAsia="ja-JP"/>
        </w:rPr>
        <w:t>」</w:t>
      </w:r>
    </w:p>
    <w:p w14:paraId="0ACEE14F" w14:textId="77777777" w:rsidR="006D1AF2" w:rsidRDefault="00E572BA">
      <w:pPr>
        <w:pStyle w:val="MMTopic5"/>
        <w:numPr>
          <w:ilvl w:val="4"/>
          <w:numId w:val="1"/>
        </w:numPr>
        <w:rPr>
          <w:lang w:eastAsia="ja-JP"/>
        </w:rPr>
      </w:pPr>
      <w:r>
        <w:rPr>
          <w:lang w:eastAsia="ja-JP"/>
        </w:rPr>
        <w:t>IT</w:t>
      </w:r>
      <w:r>
        <w:rPr>
          <w:lang w:eastAsia="ja-JP"/>
        </w:rPr>
        <w:t>・データサイエンス・</w:t>
      </w:r>
      <w:r>
        <w:rPr>
          <w:lang w:eastAsia="ja-JP"/>
        </w:rPr>
        <w:t>AI</w:t>
      </w:r>
      <w:r>
        <w:rPr>
          <w:lang w:eastAsia="ja-JP"/>
        </w:rPr>
        <w:t>を使うための基礎的なスキル・知識・マインド</w:t>
      </w:r>
    </w:p>
    <w:p w14:paraId="0ACEE150" w14:textId="77777777" w:rsidR="006D1AF2" w:rsidRDefault="00E572BA">
      <w:pPr>
        <w:pStyle w:val="MMPriority"/>
        <w:numPr>
          <w:ilvl w:val="3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A8" wp14:editId="0ACEE1A9">
            <wp:extent cx="127000" cy="127000"/>
            <wp:effectExtent l="0" t="0" r="0" b="0"/>
            <wp:docPr id="100021" name="図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51" w14:textId="77777777" w:rsidR="006D1AF2" w:rsidRDefault="00E572BA">
      <w:pPr>
        <w:pStyle w:val="MMTopicInfo"/>
        <w:ind w:left="1520"/>
        <w:rPr>
          <w:vanish/>
          <w:color w:val="000000"/>
          <w:sz w:val="20"/>
          <w:specVanish/>
        </w:rPr>
      </w:pPr>
      <w:r>
        <w:rPr>
          <w:color w:val="000000"/>
          <w:sz w:val="20"/>
        </w:rPr>
        <w:t xml:space="preserve"> </w:t>
      </w:r>
    </w:p>
    <w:p w14:paraId="0ACEE152" w14:textId="77777777" w:rsidR="006D1AF2" w:rsidRDefault="00E572BA">
      <w:pPr>
        <w:pStyle w:val="MMTopic4"/>
        <w:ind w:left="1520"/>
      </w:pPr>
      <w:r>
        <w:t>マインド</w:t>
      </w:r>
    </w:p>
    <w:p w14:paraId="0ACEE153" w14:textId="77777777" w:rsidR="006D1AF2" w:rsidRDefault="00E572BA">
      <w:pPr>
        <w:pStyle w:val="MMTopic5"/>
        <w:numPr>
          <w:ilvl w:val="4"/>
          <w:numId w:val="1"/>
        </w:numPr>
        <w:rPr>
          <w:lang w:eastAsia="ja-JP"/>
        </w:rPr>
      </w:pPr>
      <w:r>
        <w:rPr>
          <w:lang w:eastAsia="ja-JP"/>
        </w:rPr>
        <w:t>デジタルに取り組むスタンス、マインド</w:t>
      </w:r>
    </w:p>
    <w:p w14:paraId="0ACEE154" w14:textId="77777777" w:rsidR="006D1AF2" w:rsidRDefault="00E572BA">
      <w:pPr>
        <w:pStyle w:val="MMPriority"/>
        <w:numPr>
          <w:ilvl w:val="3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AA" wp14:editId="0ACEE1AB">
            <wp:extent cx="127000" cy="127000"/>
            <wp:effectExtent l="0" t="0" r="0" b="0"/>
            <wp:docPr id="100023" name="図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55" w14:textId="77777777" w:rsidR="006D1AF2" w:rsidRDefault="00E572BA">
      <w:pPr>
        <w:pStyle w:val="MMTopicInfo"/>
        <w:ind w:left="1520"/>
        <w:rPr>
          <w:vanish/>
          <w:color w:val="000000"/>
          <w:sz w:val="20"/>
          <w:specVanish/>
        </w:rPr>
      </w:pPr>
      <w:r>
        <w:rPr>
          <w:color w:val="000000"/>
          <w:sz w:val="20"/>
        </w:rPr>
        <w:t xml:space="preserve"> </w:t>
      </w:r>
    </w:p>
    <w:p w14:paraId="0ACEE156" w14:textId="77777777" w:rsidR="006D1AF2" w:rsidRDefault="00E572BA">
      <w:pPr>
        <w:pStyle w:val="MMTopic4"/>
        <w:ind w:left="1520"/>
      </w:pPr>
      <w:r>
        <w:t>知識体系</w:t>
      </w:r>
    </w:p>
    <w:p w14:paraId="0ACEE157" w14:textId="77777777" w:rsidR="006D1AF2" w:rsidRDefault="00E572BA">
      <w:pPr>
        <w:pStyle w:val="MMTopic5"/>
        <w:numPr>
          <w:ilvl w:val="4"/>
          <w:numId w:val="1"/>
        </w:numPr>
        <w:rPr>
          <w:lang w:eastAsia="ja-JP"/>
        </w:rPr>
      </w:pPr>
      <w:r>
        <w:rPr>
          <w:lang w:eastAsia="ja-JP"/>
        </w:rPr>
        <w:t>デジタル活用分野</w:t>
      </w:r>
      <w:r>
        <w:rPr>
          <w:lang w:eastAsia="ja-JP"/>
        </w:rPr>
        <w:t>/</w:t>
      </w:r>
      <w:r>
        <w:rPr>
          <w:lang w:eastAsia="ja-JP"/>
        </w:rPr>
        <w:t>適用事例</w:t>
      </w:r>
    </w:p>
    <w:p w14:paraId="0ACEE158" w14:textId="77777777" w:rsidR="006D1AF2" w:rsidRDefault="00E572BA">
      <w:pPr>
        <w:pStyle w:val="MMTopic5"/>
        <w:numPr>
          <w:ilvl w:val="4"/>
          <w:numId w:val="1"/>
        </w:numPr>
      </w:pPr>
      <w:r>
        <w:t>デジタル知識</w:t>
      </w:r>
    </w:p>
    <w:p w14:paraId="0ACEE159" w14:textId="77777777" w:rsidR="006D1AF2" w:rsidRDefault="00E572BA">
      <w:pPr>
        <w:pStyle w:val="MMPriority"/>
        <w:numPr>
          <w:ilvl w:val="3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AC" wp14:editId="0ACEE1AD">
            <wp:extent cx="127000" cy="127000"/>
            <wp:effectExtent l="0" t="0" r="0" b="0"/>
            <wp:docPr id="100025" name="図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5A" w14:textId="77777777" w:rsidR="006D1AF2" w:rsidRDefault="00E572BA">
      <w:pPr>
        <w:pStyle w:val="MMTopicInfo"/>
        <w:ind w:left="1520"/>
        <w:rPr>
          <w:vanish/>
          <w:color w:val="000000"/>
          <w:sz w:val="20"/>
          <w:specVanish/>
        </w:rPr>
      </w:pPr>
      <w:r>
        <w:rPr>
          <w:color w:val="000000"/>
          <w:sz w:val="20"/>
        </w:rPr>
        <w:t xml:space="preserve"> </w:t>
      </w:r>
    </w:p>
    <w:p w14:paraId="0ACEE15B" w14:textId="77777777" w:rsidR="006D1AF2" w:rsidRDefault="00E572BA">
      <w:pPr>
        <w:pStyle w:val="MMTopic4"/>
        <w:ind w:left="1520"/>
      </w:pPr>
      <w:r>
        <w:t>スキル</w:t>
      </w:r>
    </w:p>
    <w:p w14:paraId="0ACEE15C" w14:textId="77777777" w:rsidR="006D1AF2" w:rsidRDefault="00E572BA">
      <w:pPr>
        <w:pStyle w:val="MMPriority"/>
        <w:numPr>
          <w:ilvl w:val="4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AE" wp14:editId="0ACEE1AF">
            <wp:extent cx="127000" cy="127000"/>
            <wp:effectExtent l="0" t="0" r="0" b="0"/>
            <wp:docPr id="100027" name="図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5D" w14:textId="77777777" w:rsidR="006D1AF2" w:rsidRDefault="00E572BA">
      <w:pPr>
        <w:pStyle w:val="MMTopicInfo"/>
        <w:ind w:left="1760"/>
        <w:rPr>
          <w:vanish/>
          <w:color w:val="000000"/>
          <w:sz w:val="20"/>
          <w:specVanish/>
        </w:rPr>
      </w:pPr>
      <w:r>
        <w:rPr>
          <w:color w:val="000000"/>
          <w:sz w:val="20"/>
        </w:rPr>
        <w:t xml:space="preserve"> </w:t>
      </w:r>
    </w:p>
    <w:p w14:paraId="0ACEE15E" w14:textId="77777777" w:rsidR="006D1AF2" w:rsidRDefault="00E572BA">
      <w:pPr>
        <w:pStyle w:val="MMTopic5"/>
        <w:ind w:left="1760"/>
      </w:pPr>
      <w:r>
        <w:t>基礎</w:t>
      </w:r>
    </w:p>
    <w:p w14:paraId="0ACEE15F" w14:textId="77777777" w:rsidR="006D1AF2" w:rsidRDefault="00E572BA">
      <w:pPr>
        <w:pStyle w:val="MMTopic6"/>
        <w:numPr>
          <w:ilvl w:val="5"/>
          <w:numId w:val="1"/>
        </w:numPr>
      </w:pPr>
      <w:r>
        <w:t>使う、作る</w:t>
      </w:r>
      <w:r>
        <w:t>/</w:t>
      </w:r>
      <w:r>
        <w:t>なおす</w:t>
      </w:r>
    </w:p>
    <w:p w14:paraId="0ACEE160" w14:textId="77777777" w:rsidR="006D1AF2" w:rsidRDefault="00E572BA">
      <w:pPr>
        <w:pStyle w:val="MMPriority"/>
        <w:numPr>
          <w:ilvl w:val="4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B0" wp14:editId="0ACEE1B1">
            <wp:extent cx="127000" cy="127000"/>
            <wp:effectExtent l="0" t="0" r="0" b="0"/>
            <wp:docPr id="100029" name="図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61" w14:textId="77777777" w:rsidR="006D1AF2" w:rsidRDefault="00E572BA">
      <w:pPr>
        <w:pStyle w:val="MMTopicInfo"/>
        <w:ind w:left="1760"/>
        <w:rPr>
          <w:vanish/>
          <w:color w:val="000000"/>
          <w:sz w:val="20"/>
          <w:specVanish/>
        </w:rPr>
      </w:pPr>
      <w:r>
        <w:rPr>
          <w:color w:val="000000"/>
          <w:sz w:val="20"/>
        </w:rPr>
        <w:t xml:space="preserve"> </w:t>
      </w:r>
    </w:p>
    <w:p w14:paraId="0ACEE162" w14:textId="77777777" w:rsidR="006D1AF2" w:rsidRDefault="00E572BA">
      <w:pPr>
        <w:pStyle w:val="MMTopic5"/>
        <w:ind w:left="1760"/>
      </w:pPr>
      <w:r>
        <w:t>応用</w:t>
      </w:r>
    </w:p>
    <w:p w14:paraId="0ACEE163" w14:textId="77777777" w:rsidR="006D1AF2" w:rsidRDefault="00E572BA">
      <w:pPr>
        <w:pStyle w:val="MMTopic6"/>
        <w:numPr>
          <w:ilvl w:val="5"/>
          <w:numId w:val="1"/>
        </w:numPr>
      </w:pPr>
      <w:r>
        <w:t>より上手に使う</w:t>
      </w:r>
      <w:r>
        <w:t>/</w:t>
      </w:r>
      <w:r>
        <w:t>広める</w:t>
      </w:r>
    </w:p>
    <w:p w14:paraId="0ACEE164" w14:textId="77777777" w:rsidR="006D1AF2" w:rsidRDefault="00E572BA">
      <w:pPr>
        <w:pStyle w:val="MMTopic6"/>
        <w:numPr>
          <w:ilvl w:val="5"/>
          <w:numId w:val="1"/>
        </w:numPr>
        <w:rPr>
          <w:lang w:eastAsia="ja-JP"/>
        </w:rPr>
      </w:pPr>
      <w:r>
        <w:rPr>
          <w:lang w:eastAsia="ja-JP"/>
        </w:rPr>
        <w:t>発送する</w:t>
      </w:r>
      <w:r>
        <w:rPr>
          <w:lang w:eastAsia="ja-JP"/>
        </w:rPr>
        <w:t>/</w:t>
      </w:r>
      <w:r>
        <w:rPr>
          <w:lang w:eastAsia="ja-JP"/>
        </w:rPr>
        <w:t>活用方針を示す</w:t>
      </w:r>
    </w:p>
    <w:p w14:paraId="0ACEE165" w14:textId="77777777" w:rsidR="006D1AF2" w:rsidRDefault="00E572BA">
      <w:pPr>
        <w:pStyle w:val="MMTopic6"/>
        <w:numPr>
          <w:ilvl w:val="5"/>
          <w:numId w:val="1"/>
        </w:numPr>
      </w:pPr>
      <w:r>
        <w:lastRenderedPageBreak/>
        <w:t>新たに作る</w:t>
      </w:r>
      <w:r>
        <w:t>/</w:t>
      </w:r>
      <w:r>
        <w:t>教える</w:t>
      </w:r>
    </w:p>
    <w:p w14:paraId="0ACEE166" w14:textId="77777777" w:rsidR="006D1AF2" w:rsidRDefault="00E572BA">
      <w:pPr>
        <w:pStyle w:val="MMPriority"/>
        <w:numPr>
          <w:ilvl w:val="3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B2" wp14:editId="0ACEE1B3">
            <wp:extent cx="127000" cy="127000"/>
            <wp:effectExtent l="0" t="0" r="0" b="0"/>
            <wp:docPr id="100031" name="図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67" w14:textId="77777777" w:rsidR="006D1AF2" w:rsidRDefault="00E572BA">
      <w:pPr>
        <w:pStyle w:val="MMTopicInfo"/>
        <w:ind w:left="1520"/>
        <w:rPr>
          <w:vanish/>
          <w:color w:val="000000"/>
          <w:sz w:val="20"/>
          <w:specVanish/>
        </w:rPr>
      </w:pPr>
      <w:r>
        <w:rPr>
          <w:color w:val="000000"/>
          <w:sz w:val="20"/>
        </w:rPr>
        <w:t xml:space="preserve"> </w:t>
      </w:r>
    </w:p>
    <w:p w14:paraId="0ACEE168" w14:textId="77777777" w:rsidR="006D1AF2" w:rsidRDefault="00E572BA">
      <w:pPr>
        <w:pStyle w:val="MMTopic4"/>
        <w:ind w:left="1520"/>
      </w:pPr>
      <w:r>
        <w:t>対象者</w:t>
      </w:r>
    </w:p>
    <w:p w14:paraId="0ACEE169" w14:textId="77777777" w:rsidR="006D1AF2" w:rsidRDefault="00E572BA">
      <w:pPr>
        <w:pStyle w:val="MMTopic5"/>
        <w:numPr>
          <w:ilvl w:val="4"/>
          <w:numId w:val="1"/>
        </w:numPr>
      </w:pPr>
      <w:r>
        <w:t>利用者</w:t>
      </w:r>
    </w:p>
    <w:p w14:paraId="0ACEE16A" w14:textId="77777777" w:rsidR="006D1AF2" w:rsidRDefault="00E572BA">
      <w:pPr>
        <w:pStyle w:val="MMTopic5"/>
        <w:numPr>
          <w:ilvl w:val="4"/>
          <w:numId w:val="1"/>
        </w:numPr>
      </w:pPr>
      <w:r>
        <w:t>企画者</w:t>
      </w:r>
    </w:p>
    <w:p w14:paraId="0ACEE16B" w14:textId="77777777" w:rsidR="006D1AF2" w:rsidRDefault="00E572BA">
      <w:pPr>
        <w:pStyle w:val="MMTopic5"/>
        <w:numPr>
          <w:ilvl w:val="4"/>
          <w:numId w:val="1"/>
        </w:numPr>
      </w:pPr>
      <w:r>
        <w:t>経営者</w:t>
      </w:r>
      <w:r>
        <w:t>/</w:t>
      </w:r>
      <w:r>
        <w:t>責任者</w:t>
      </w:r>
    </w:p>
    <w:p w14:paraId="0ACEE16C" w14:textId="77777777" w:rsidR="006D1AF2" w:rsidRDefault="00E572BA">
      <w:pPr>
        <w:pStyle w:val="MMTopic5"/>
        <w:numPr>
          <w:ilvl w:val="4"/>
          <w:numId w:val="1"/>
        </w:numPr>
      </w:pPr>
      <w:r>
        <w:t>エンジニア</w:t>
      </w:r>
    </w:p>
    <w:p w14:paraId="0ACEE16D" w14:textId="77777777" w:rsidR="006D1AF2" w:rsidRDefault="00E572BA">
      <w:pPr>
        <w:pStyle w:val="MMPriority"/>
        <w:numPr>
          <w:ilvl w:val="2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B4" wp14:editId="0ACEE1B5">
            <wp:extent cx="127000" cy="127000"/>
            <wp:effectExtent l="0" t="0" r="0" b="0"/>
            <wp:docPr id="100033" name="図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6E" w14:textId="77777777" w:rsidR="006D1AF2" w:rsidRDefault="00E572BA">
      <w:pPr>
        <w:pStyle w:val="MMTopicInfo"/>
        <w:ind w:left="1560"/>
        <w:rPr>
          <w:vanish/>
          <w:color w:val="000000"/>
          <w:sz w:val="20"/>
          <w:specVanish/>
        </w:rPr>
      </w:pPr>
      <w:r>
        <w:rPr>
          <w:color w:val="000000"/>
          <w:sz w:val="20"/>
        </w:rPr>
        <w:t xml:space="preserve"> </w:t>
      </w:r>
    </w:p>
    <w:p w14:paraId="0ACEE16F" w14:textId="77777777" w:rsidR="006D1AF2" w:rsidRDefault="00E572BA">
      <w:pPr>
        <w:pStyle w:val="MMTopic3"/>
        <w:ind w:left="1560"/>
      </w:pPr>
      <w:r>
        <w:t>実施に当たって</w:t>
      </w:r>
    </w:p>
    <w:p w14:paraId="0ACEE170" w14:textId="77777777" w:rsidR="006D1AF2" w:rsidRDefault="00E572BA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公務員倫理、</w:t>
      </w:r>
      <w:r>
        <w:rPr>
          <w:lang w:eastAsia="ja-JP"/>
        </w:rPr>
        <w:t xml:space="preserve"> </w:t>
      </w:r>
      <w:r>
        <w:rPr>
          <w:lang w:eastAsia="ja-JP"/>
        </w:rPr>
        <w:t>東京都コンプライアンス、</w:t>
      </w:r>
      <w:r>
        <w:rPr>
          <w:lang w:eastAsia="ja-JP"/>
        </w:rPr>
        <w:t xml:space="preserve"> </w:t>
      </w:r>
      <w:r>
        <w:rPr>
          <w:lang w:eastAsia="ja-JP"/>
        </w:rPr>
        <w:t>職業倫理に沿って行動する</w:t>
      </w:r>
    </w:p>
    <w:p w14:paraId="0ACEE171" w14:textId="77777777" w:rsidR="006D1AF2" w:rsidRDefault="00E572BA">
      <w:pPr>
        <w:pStyle w:val="MMPriority"/>
        <w:numPr>
          <w:ilvl w:val="1"/>
          <w:numId w:val="1"/>
        </w:numPr>
        <w:rPr>
          <w:vanish/>
          <w:color w:val="FF0000"/>
          <w:sz w:val="20"/>
          <w:specVanish/>
        </w:rPr>
      </w:pPr>
      <w:r>
        <w:rPr>
          <w:noProof/>
          <w:color w:val="FF0000"/>
          <w:sz w:val="20"/>
        </w:rPr>
        <w:drawing>
          <wp:inline distT="0" distB="0" distL="0" distR="0" wp14:anchorId="0ACEE1B6" wp14:editId="0ACEE1B7">
            <wp:extent cx="127000" cy="127000"/>
            <wp:effectExtent l="0" t="0" r="0" b="0"/>
            <wp:docPr id="100035" name="図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72" w14:textId="77777777" w:rsidR="006D1AF2" w:rsidRDefault="00E572BA">
      <w:pPr>
        <w:pStyle w:val="MMTopicInfo"/>
        <w:ind w:left="1040"/>
        <w:rPr>
          <w:vanish/>
          <w:color w:val="FF0000"/>
          <w:sz w:val="20"/>
          <w:specVanish/>
        </w:rPr>
      </w:pPr>
      <w:r>
        <w:rPr>
          <w:color w:val="FF0000"/>
          <w:sz w:val="20"/>
        </w:rPr>
        <w:t xml:space="preserve"> </w:t>
      </w:r>
    </w:p>
    <w:p w14:paraId="0ACEE173" w14:textId="77777777" w:rsidR="006D1AF2" w:rsidRDefault="00E572BA">
      <w:pPr>
        <w:pStyle w:val="MMTopic2"/>
        <w:ind w:left="1040"/>
      </w:pPr>
      <w:r>
        <w:rPr>
          <w:color w:val="FF0000"/>
        </w:rPr>
        <w:t>専門員の業務実施戦術</w:t>
      </w:r>
    </w:p>
    <w:p w14:paraId="0ACEE174" w14:textId="77777777" w:rsidR="006D1AF2" w:rsidRDefault="00E572BA">
      <w:pPr>
        <w:pStyle w:val="MMPriority"/>
        <w:numPr>
          <w:ilvl w:val="2"/>
          <w:numId w:val="1"/>
        </w:numPr>
        <w:rPr>
          <w:vanish/>
          <w:color w:val="FF0303"/>
          <w:sz w:val="20"/>
          <w:specVanish/>
        </w:rPr>
      </w:pPr>
      <w:r>
        <w:rPr>
          <w:noProof/>
          <w:color w:val="FF0303"/>
          <w:sz w:val="20"/>
        </w:rPr>
        <w:drawing>
          <wp:inline distT="0" distB="0" distL="0" distR="0" wp14:anchorId="0ACEE1B8" wp14:editId="0ACEE1B9">
            <wp:extent cx="127000" cy="127000"/>
            <wp:effectExtent l="0" t="0" r="0" b="0"/>
            <wp:docPr id="100037" name="図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75" w14:textId="77777777" w:rsidR="006D1AF2" w:rsidRDefault="00E572BA">
      <w:pPr>
        <w:pStyle w:val="MMTopicInfo"/>
        <w:ind w:left="1560"/>
        <w:rPr>
          <w:vanish/>
          <w:color w:val="FF0303"/>
          <w:sz w:val="20"/>
          <w:lang w:eastAsia="ja-JP"/>
          <w:specVanish/>
        </w:rPr>
      </w:pPr>
      <w:r>
        <w:rPr>
          <w:color w:val="FF0303"/>
          <w:sz w:val="20"/>
          <w:lang w:eastAsia="ja-JP"/>
        </w:rPr>
        <w:t xml:space="preserve"> </w:t>
      </w:r>
    </w:p>
    <w:p w14:paraId="0ACEE176" w14:textId="77777777" w:rsidR="006D1AF2" w:rsidRDefault="00E572BA">
      <w:pPr>
        <w:pStyle w:val="MMTopic3"/>
        <w:ind w:left="1560"/>
        <w:rPr>
          <w:lang w:eastAsia="ja-JP"/>
        </w:rPr>
      </w:pPr>
      <w:r>
        <w:rPr>
          <w:color w:val="FF0303"/>
          <w:lang w:eastAsia="ja-JP"/>
        </w:rPr>
        <w:t>中小企業のセキュリティ対策を支援する組織として、「デジタルリテラシー・スキルフレームワーク」に沿って、中小企業を支援するための、体系的・網羅的な知識・スキルの保有に努める。</w:t>
      </w:r>
    </w:p>
    <w:p w14:paraId="0ACEE177" w14:textId="77777777" w:rsidR="006D1AF2" w:rsidRDefault="00E572BA">
      <w:pPr>
        <w:pStyle w:val="MMPriority"/>
        <w:numPr>
          <w:ilvl w:val="2"/>
          <w:numId w:val="1"/>
        </w:numPr>
        <w:rPr>
          <w:vanish/>
          <w:color w:val="FF0303"/>
          <w:sz w:val="20"/>
          <w:specVanish/>
        </w:rPr>
      </w:pPr>
      <w:r>
        <w:rPr>
          <w:noProof/>
          <w:color w:val="FF0303"/>
          <w:sz w:val="20"/>
        </w:rPr>
        <w:drawing>
          <wp:inline distT="0" distB="0" distL="0" distR="0" wp14:anchorId="0ACEE1BA" wp14:editId="0ACEE1BB">
            <wp:extent cx="127000" cy="127000"/>
            <wp:effectExtent l="0" t="0" r="0" b="0"/>
            <wp:docPr id="100039" name="図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78" w14:textId="77777777" w:rsidR="006D1AF2" w:rsidRDefault="00E572BA">
      <w:pPr>
        <w:pStyle w:val="MMTopicInfo"/>
        <w:ind w:left="1560"/>
        <w:rPr>
          <w:vanish/>
          <w:color w:val="FF0303"/>
          <w:sz w:val="20"/>
          <w:specVanish/>
        </w:rPr>
      </w:pPr>
      <w:r>
        <w:rPr>
          <w:color w:val="FF0303"/>
          <w:sz w:val="20"/>
        </w:rPr>
        <w:t xml:space="preserve"> </w:t>
      </w:r>
    </w:p>
    <w:p w14:paraId="0ACEE179" w14:textId="77777777" w:rsidR="006D1AF2" w:rsidRDefault="00E572BA">
      <w:pPr>
        <w:pStyle w:val="MMTopic3"/>
        <w:ind w:left="1560"/>
      </w:pPr>
      <w:r>
        <w:rPr>
          <w:color w:val="FF0303"/>
        </w:rPr>
        <w:t>成果の見える化</w:t>
      </w:r>
    </w:p>
    <w:p w14:paraId="0ACEE17A" w14:textId="77777777" w:rsidR="006D1AF2" w:rsidRDefault="00E572BA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専門員の所掌事務を具体的な業務として目標を設定し、その目標の達成を評価</w:t>
      </w:r>
    </w:p>
    <w:p w14:paraId="0ACEE17B" w14:textId="77777777" w:rsidR="006D1AF2" w:rsidRDefault="00E572BA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color w:val="FF0303"/>
          <w:lang w:eastAsia="ja-JP"/>
        </w:rPr>
        <w:t>設定した目標の達成に向けて調査・分析した情報が、組織の共有知識として蓄積されるように、体系化して形式知化（ドキュメント化）する</w:t>
      </w:r>
    </w:p>
    <w:p w14:paraId="0ACEE17C" w14:textId="77777777" w:rsidR="006D1AF2" w:rsidRDefault="00E572BA">
      <w:pPr>
        <w:pStyle w:val="MMPriority"/>
        <w:numPr>
          <w:ilvl w:val="2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BC" wp14:editId="0ACEE1BD">
            <wp:extent cx="127000" cy="127000"/>
            <wp:effectExtent l="0" t="0" r="0" b="0"/>
            <wp:docPr id="100041" name="図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7D" w14:textId="77777777" w:rsidR="006D1AF2" w:rsidRDefault="00E572BA">
      <w:pPr>
        <w:pStyle w:val="MMTopicInfo"/>
        <w:ind w:left="1560"/>
        <w:rPr>
          <w:vanish/>
          <w:color w:val="000000"/>
          <w:sz w:val="20"/>
          <w:specVanish/>
        </w:rPr>
      </w:pPr>
      <w:r>
        <w:rPr>
          <w:color w:val="000000"/>
          <w:sz w:val="20"/>
        </w:rPr>
        <w:t xml:space="preserve"> </w:t>
      </w:r>
    </w:p>
    <w:p w14:paraId="0ACEE17E" w14:textId="77777777" w:rsidR="006D1AF2" w:rsidRDefault="00E572BA">
      <w:pPr>
        <w:pStyle w:val="MMTopic3"/>
        <w:ind w:left="1560"/>
      </w:pPr>
      <w:r>
        <w:t>スキルの向上</w:t>
      </w:r>
    </w:p>
    <w:p w14:paraId="0ACEE17F" w14:textId="77777777" w:rsidR="006D1AF2" w:rsidRDefault="00E572BA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専門員としてのスキル、</w:t>
      </w:r>
      <w:r>
        <w:rPr>
          <w:lang w:eastAsia="ja-JP"/>
        </w:rPr>
        <w:t xml:space="preserve"> </w:t>
      </w:r>
      <w:r>
        <w:rPr>
          <w:lang w:eastAsia="ja-JP"/>
        </w:rPr>
        <w:t>知識の向上を図り、モチベーションを維持する（スキル・知識を陳腐化させない）</w:t>
      </w:r>
    </w:p>
    <w:p w14:paraId="0ACEE180" w14:textId="77777777" w:rsidR="006D1AF2" w:rsidRDefault="00E572BA">
      <w:pPr>
        <w:pStyle w:val="MMPriority"/>
        <w:numPr>
          <w:ilvl w:val="2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BE" wp14:editId="0ACEE1BF">
            <wp:extent cx="127000" cy="127000"/>
            <wp:effectExtent l="0" t="0" r="0" b="0"/>
            <wp:docPr id="100043" name="図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81" w14:textId="77777777" w:rsidR="006D1AF2" w:rsidRDefault="00E572BA">
      <w:pPr>
        <w:pStyle w:val="MMTopicInfo"/>
        <w:ind w:left="1560"/>
        <w:rPr>
          <w:vanish/>
          <w:color w:val="000000"/>
          <w:sz w:val="20"/>
          <w:specVanish/>
        </w:rPr>
      </w:pPr>
      <w:r>
        <w:rPr>
          <w:color w:val="000000"/>
          <w:sz w:val="20"/>
        </w:rPr>
        <w:t xml:space="preserve"> </w:t>
      </w:r>
    </w:p>
    <w:p w14:paraId="0ACEE182" w14:textId="77777777" w:rsidR="006D1AF2" w:rsidRDefault="00E572BA">
      <w:pPr>
        <w:pStyle w:val="MMTopic3"/>
        <w:ind w:left="1560"/>
      </w:pPr>
      <w:r>
        <w:t>情報の収集</w:t>
      </w:r>
    </w:p>
    <w:p w14:paraId="0ACEE183" w14:textId="77777777" w:rsidR="006D1AF2" w:rsidRDefault="00E572BA">
      <w:pPr>
        <w:pStyle w:val="MMPriority"/>
        <w:numPr>
          <w:ilvl w:val="3"/>
          <w:numId w:val="1"/>
        </w:numPr>
        <w:rPr>
          <w:vanish/>
          <w:color w:val="FF0303"/>
          <w:sz w:val="20"/>
          <w:specVanish/>
        </w:rPr>
      </w:pPr>
      <w:r>
        <w:rPr>
          <w:noProof/>
          <w:color w:val="FF0303"/>
          <w:sz w:val="20"/>
        </w:rPr>
        <w:drawing>
          <wp:inline distT="0" distB="0" distL="0" distR="0" wp14:anchorId="0ACEE1C0" wp14:editId="0ACEE1C1">
            <wp:extent cx="127000" cy="127000"/>
            <wp:effectExtent l="0" t="0" r="0" b="0"/>
            <wp:docPr id="100045" name="図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84" w14:textId="77777777" w:rsidR="006D1AF2" w:rsidRDefault="00E572BA">
      <w:pPr>
        <w:pStyle w:val="MMTopicInfo"/>
        <w:ind w:left="1520"/>
        <w:rPr>
          <w:vanish/>
          <w:color w:val="FF0303"/>
          <w:sz w:val="20"/>
          <w:lang w:eastAsia="ja-JP"/>
          <w:specVanish/>
        </w:rPr>
      </w:pPr>
      <w:r>
        <w:rPr>
          <w:color w:val="FF0303"/>
          <w:sz w:val="20"/>
          <w:lang w:eastAsia="ja-JP"/>
        </w:rPr>
        <w:t xml:space="preserve"> </w:t>
      </w:r>
    </w:p>
    <w:p w14:paraId="0ACEE185" w14:textId="77777777" w:rsidR="006D1AF2" w:rsidRDefault="00E572BA">
      <w:pPr>
        <w:pStyle w:val="MMTopic4"/>
        <w:ind w:left="1520"/>
        <w:rPr>
          <w:lang w:eastAsia="ja-JP"/>
        </w:rPr>
      </w:pPr>
      <w:r>
        <w:rPr>
          <w:color w:val="FF0303"/>
          <w:lang w:eastAsia="ja-JP"/>
        </w:rPr>
        <w:t>一般的な知識は浅くても広く</w:t>
      </w:r>
    </w:p>
    <w:p w14:paraId="0ACEE186" w14:textId="77777777" w:rsidR="006D1AF2" w:rsidRDefault="00E572BA">
      <w:pPr>
        <w:pStyle w:val="MMTopic5"/>
        <w:numPr>
          <w:ilvl w:val="4"/>
          <w:numId w:val="1"/>
        </w:numPr>
        <w:rPr>
          <w:lang w:eastAsia="ja-JP"/>
        </w:rPr>
      </w:pPr>
      <w:r>
        <w:rPr>
          <w:lang w:eastAsia="ja-JP"/>
        </w:rPr>
        <w:t>最新の</w:t>
      </w:r>
      <w:r>
        <w:rPr>
          <w:lang w:eastAsia="ja-JP"/>
        </w:rPr>
        <w:t>IT</w:t>
      </w:r>
      <w:r>
        <w:rPr>
          <w:lang w:eastAsia="ja-JP"/>
        </w:rPr>
        <w:t>およびセキュリティ関連動向を、文献調査、セミナー等により見聞し、情報の所在、概要を収集する</w:t>
      </w:r>
    </w:p>
    <w:p w14:paraId="0ACEE187" w14:textId="77777777" w:rsidR="006D1AF2" w:rsidRDefault="00E572BA">
      <w:pPr>
        <w:pStyle w:val="MMPriority"/>
        <w:numPr>
          <w:ilvl w:val="3"/>
          <w:numId w:val="1"/>
        </w:numPr>
        <w:rPr>
          <w:vanish/>
          <w:color w:val="FF0303"/>
          <w:sz w:val="20"/>
          <w:specVanish/>
        </w:rPr>
      </w:pPr>
      <w:r>
        <w:rPr>
          <w:noProof/>
          <w:color w:val="FF0303"/>
          <w:sz w:val="20"/>
        </w:rPr>
        <w:drawing>
          <wp:inline distT="0" distB="0" distL="0" distR="0" wp14:anchorId="0ACEE1C2" wp14:editId="0ACEE1C3">
            <wp:extent cx="127000" cy="127000"/>
            <wp:effectExtent l="0" t="0" r="0" b="0"/>
            <wp:docPr id="100047" name="図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88" w14:textId="77777777" w:rsidR="006D1AF2" w:rsidRDefault="00E572BA">
      <w:pPr>
        <w:pStyle w:val="MMTopicInfo"/>
        <w:ind w:left="1520"/>
        <w:rPr>
          <w:vanish/>
          <w:color w:val="FF0303"/>
          <w:sz w:val="20"/>
          <w:specVanish/>
        </w:rPr>
      </w:pPr>
      <w:r>
        <w:rPr>
          <w:color w:val="FF0303"/>
          <w:sz w:val="20"/>
        </w:rPr>
        <w:t xml:space="preserve"> </w:t>
      </w:r>
    </w:p>
    <w:p w14:paraId="0ACEE189" w14:textId="77777777" w:rsidR="006D1AF2" w:rsidRDefault="00E572BA">
      <w:pPr>
        <w:pStyle w:val="MMTopic4"/>
        <w:ind w:left="1520"/>
      </w:pPr>
      <w:r>
        <w:rPr>
          <w:color w:val="FF0303"/>
        </w:rPr>
        <w:t>専門的な知識は深く</w:t>
      </w:r>
    </w:p>
    <w:p w14:paraId="0ACEE18A" w14:textId="77777777" w:rsidR="006D1AF2" w:rsidRDefault="00E572BA">
      <w:pPr>
        <w:pStyle w:val="MMTopic5"/>
        <w:numPr>
          <w:ilvl w:val="4"/>
          <w:numId w:val="1"/>
        </w:numPr>
        <w:rPr>
          <w:lang w:eastAsia="ja-JP"/>
        </w:rPr>
      </w:pPr>
      <w:r>
        <w:rPr>
          <w:lang w:eastAsia="ja-JP"/>
        </w:rPr>
        <w:t>見聞した情報では、実践的な知見が得られない最新の技術に関しては、試行・実践により、実践的な技能を収集する</w:t>
      </w:r>
    </w:p>
    <w:p w14:paraId="0ACEE18B" w14:textId="77777777" w:rsidR="006D1AF2" w:rsidRDefault="00E572BA">
      <w:pPr>
        <w:pStyle w:val="MMPriority"/>
        <w:numPr>
          <w:ilvl w:val="2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C4" wp14:editId="0ACEE1C5">
            <wp:extent cx="127000" cy="127000"/>
            <wp:effectExtent l="0" t="0" r="0" b="0"/>
            <wp:docPr id="100049" name="図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8C" w14:textId="77777777" w:rsidR="006D1AF2" w:rsidRDefault="00E572BA">
      <w:pPr>
        <w:pStyle w:val="MMTopicInfo"/>
        <w:ind w:left="1560"/>
        <w:rPr>
          <w:vanish/>
          <w:color w:val="000000"/>
          <w:sz w:val="20"/>
          <w:specVanish/>
        </w:rPr>
      </w:pPr>
      <w:r>
        <w:rPr>
          <w:color w:val="000000"/>
          <w:sz w:val="20"/>
        </w:rPr>
        <w:t xml:space="preserve"> </w:t>
      </w:r>
    </w:p>
    <w:p w14:paraId="0ACEE18D" w14:textId="77777777" w:rsidR="006D1AF2" w:rsidRDefault="00E572BA">
      <w:pPr>
        <w:pStyle w:val="MMTopic3"/>
        <w:ind w:left="1560"/>
      </w:pPr>
      <w:r>
        <w:t>情報の整理・知識化</w:t>
      </w:r>
    </w:p>
    <w:p w14:paraId="0ACEE18E" w14:textId="77777777" w:rsidR="006D1AF2" w:rsidRDefault="00E572BA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t>収集した知識を整理して、ドキュメント化し、組織の体系的・網羅的な知識として蓄積する</w:t>
      </w:r>
    </w:p>
    <w:p w14:paraId="0ACEE18F" w14:textId="77777777" w:rsidR="006D1AF2" w:rsidRDefault="00E572BA">
      <w:pPr>
        <w:pStyle w:val="MMPriority"/>
        <w:numPr>
          <w:ilvl w:val="2"/>
          <w:numId w:val="1"/>
        </w:numPr>
        <w:rPr>
          <w:vanish/>
          <w:color w:val="000000"/>
          <w:sz w:val="20"/>
          <w:specVanish/>
        </w:rPr>
      </w:pPr>
      <w:r>
        <w:rPr>
          <w:noProof/>
          <w:color w:val="000000"/>
          <w:sz w:val="20"/>
        </w:rPr>
        <w:drawing>
          <wp:inline distT="0" distB="0" distL="0" distR="0" wp14:anchorId="0ACEE1C6" wp14:editId="0ACEE1C7">
            <wp:extent cx="127000" cy="127000"/>
            <wp:effectExtent l="0" t="0" r="0" b="0"/>
            <wp:docPr id="100051" name="図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190" w14:textId="77777777" w:rsidR="006D1AF2" w:rsidRDefault="00E572BA">
      <w:pPr>
        <w:pStyle w:val="MMTopicInfo"/>
        <w:ind w:left="1560"/>
        <w:rPr>
          <w:vanish/>
          <w:color w:val="000000"/>
          <w:sz w:val="20"/>
          <w:specVanish/>
        </w:rPr>
      </w:pPr>
      <w:r>
        <w:rPr>
          <w:color w:val="000000"/>
          <w:sz w:val="20"/>
        </w:rPr>
        <w:t xml:space="preserve"> </w:t>
      </w:r>
    </w:p>
    <w:p w14:paraId="0ACEE191" w14:textId="77777777" w:rsidR="006D1AF2" w:rsidRDefault="00E572BA">
      <w:pPr>
        <w:pStyle w:val="MMTopic3"/>
        <w:ind w:left="1560"/>
      </w:pPr>
      <w:r>
        <w:t>知識の発信</w:t>
      </w:r>
    </w:p>
    <w:p w14:paraId="0ACEE192" w14:textId="77777777" w:rsidR="006D1AF2" w:rsidRDefault="00E572BA">
      <w:pPr>
        <w:pStyle w:val="MMTopic4"/>
        <w:numPr>
          <w:ilvl w:val="3"/>
          <w:numId w:val="1"/>
        </w:numPr>
        <w:rPr>
          <w:lang w:eastAsia="ja-JP"/>
        </w:rPr>
      </w:pPr>
      <w:r>
        <w:rPr>
          <w:lang w:eastAsia="ja-JP"/>
        </w:rPr>
        <w:lastRenderedPageBreak/>
        <w:t>集積した知識は、費用対効果を考慮して、効率的な手段で、効果の高い内容を優先的に発信する</w:t>
      </w:r>
    </w:p>
    <w:p w14:paraId="0ACEE193" w14:textId="77777777" w:rsidR="006D1AF2" w:rsidRDefault="006D1AF2">
      <w:pPr>
        <w:rPr>
          <w:lang w:eastAsia="ja-JP"/>
        </w:rPr>
      </w:pPr>
    </w:p>
    <w:sectPr w:rsidR="006D1AF2">
      <w:footerReference w:type="default" r:id="rId14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68BA1" w14:textId="77777777" w:rsidR="00E572BA" w:rsidRDefault="00E572BA">
      <w:r>
        <w:separator/>
      </w:r>
    </w:p>
  </w:endnote>
  <w:endnote w:type="continuationSeparator" w:id="0">
    <w:p w14:paraId="6FCC4249" w14:textId="77777777" w:rsidR="00E572BA" w:rsidRDefault="00E57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E1C8" w14:textId="77777777" w:rsidR="006D1AF2" w:rsidRDefault="00E572BA"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0360" w14:textId="77777777" w:rsidR="00E572BA" w:rsidRDefault="00E572BA">
      <w:r>
        <w:separator/>
      </w:r>
    </w:p>
  </w:footnote>
  <w:footnote w:type="continuationSeparator" w:id="0">
    <w:p w14:paraId="614EEBE0" w14:textId="77777777" w:rsidR="00E572BA" w:rsidRDefault="00E57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265F2D"/>
    <w:rsid w:val="006D1AF2"/>
    <w:rsid w:val="00A77B3E"/>
    <w:rsid w:val="00CA2A55"/>
    <w:rsid w:val="00E5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CEE12A"/>
  <w15:docId w15:val="{3CD9459D-B6E8-4D6C-9DCE-C256D99F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メイリオ" w:eastAsia="メイリオ" w:hAnsi="メイリオ" w:cs="メイリオ"/>
      <w:sz w:val="22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1">
    <w:name w:val="MM Topic 1"/>
    <w:basedOn w:val="a"/>
    <w:next w:val="a"/>
    <w:qFormat/>
    <w:rsid w:val="00EF7B96"/>
    <w:pPr>
      <w:keepNext/>
      <w:spacing w:before="240" w:after="60"/>
      <w:outlineLvl w:val="0"/>
    </w:pPr>
    <w:rPr>
      <w:bCs/>
      <w:color w:val="000000"/>
      <w:kern w:val="32"/>
      <w:sz w:val="24"/>
      <w:szCs w:val="32"/>
    </w:rPr>
  </w:style>
  <w:style w:type="paragraph" w:customStyle="1" w:styleId="MMPriority">
    <w:name w:val="MM Priority"/>
    <w:next w:val="a"/>
    <w:qFormat/>
    <w:rPr>
      <w:rFonts w:ascii="メイリオ" w:eastAsia="メイリオ" w:hAnsi="メイリオ" w:cs="メイリオ"/>
      <w:sz w:val="22"/>
      <w:szCs w:val="24"/>
    </w:rPr>
  </w:style>
  <w:style w:type="paragraph" w:customStyle="1" w:styleId="MMTopicInfo">
    <w:name w:val="MM TopicInfo"/>
    <w:next w:val="a"/>
    <w:qFormat/>
    <w:rPr>
      <w:rFonts w:ascii="メイリオ" w:eastAsia="メイリオ" w:hAnsi="メイリオ" w:cs="メイリオ"/>
      <w:sz w:val="22"/>
      <w:szCs w:val="24"/>
    </w:rPr>
  </w:style>
  <w:style w:type="paragraph" w:customStyle="1" w:styleId="MMTopic2">
    <w:name w:val="MM Topic 2"/>
    <w:basedOn w:val="a"/>
    <w:next w:val="a"/>
    <w:qFormat/>
    <w:rsid w:val="00EF7B96"/>
    <w:pPr>
      <w:keepNext/>
      <w:spacing w:before="240" w:after="60"/>
      <w:outlineLvl w:val="1"/>
    </w:pPr>
    <w:rPr>
      <w:bCs/>
      <w:color w:val="000000"/>
      <w:sz w:val="20"/>
      <w:szCs w:val="28"/>
    </w:rPr>
  </w:style>
  <w:style w:type="paragraph" w:customStyle="1" w:styleId="MMTopic3">
    <w:name w:val="MM Topic 3"/>
    <w:next w:val="a"/>
    <w:qFormat/>
    <w:rPr>
      <w:rFonts w:ascii="メイリオ" w:eastAsia="メイリオ" w:hAnsi="メイリオ" w:cs="メイリオ"/>
      <w:color w:val="000000"/>
      <w:szCs w:val="24"/>
    </w:rPr>
  </w:style>
  <w:style w:type="paragraph" w:customStyle="1" w:styleId="MMIcon">
    <w:name w:val="MM Icon"/>
    <w:next w:val="a"/>
    <w:qFormat/>
    <w:rPr>
      <w:rFonts w:ascii="メイリオ" w:eastAsia="メイリオ" w:hAnsi="メイリオ" w:cs="メイリオ"/>
      <w:sz w:val="22"/>
      <w:szCs w:val="24"/>
    </w:rPr>
  </w:style>
  <w:style w:type="paragraph" w:customStyle="1" w:styleId="MMTopic4">
    <w:name w:val="MM Topic 4"/>
    <w:next w:val="a"/>
    <w:qFormat/>
    <w:rPr>
      <w:rFonts w:ascii="メイリオ" w:eastAsia="メイリオ" w:hAnsi="メイリオ" w:cs="メイリオ"/>
      <w:color w:val="000000"/>
      <w:szCs w:val="24"/>
    </w:rPr>
  </w:style>
  <w:style w:type="paragraph" w:customStyle="1" w:styleId="MMTopic5">
    <w:name w:val="MM Topic 5"/>
    <w:next w:val="a"/>
    <w:qFormat/>
    <w:rPr>
      <w:rFonts w:ascii="メイリオ" w:eastAsia="メイリオ" w:hAnsi="メイリオ" w:cs="メイリオ"/>
      <w:color w:val="000000"/>
      <w:szCs w:val="24"/>
    </w:rPr>
  </w:style>
  <w:style w:type="paragraph" w:customStyle="1" w:styleId="MMImage">
    <w:name w:val="MM Image"/>
    <w:next w:val="a"/>
    <w:qFormat/>
    <w:rPr>
      <w:rFonts w:ascii="メイリオ" w:eastAsia="メイリオ" w:hAnsi="メイリオ" w:cs="メイリオ"/>
      <w:sz w:val="22"/>
      <w:szCs w:val="24"/>
    </w:rPr>
  </w:style>
  <w:style w:type="paragraph" w:customStyle="1" w:styleId="MMTopic6">
    <w:name w:val="MM Topic 6"/>
    <w:next w:val="a"/>
    <w:qFormat/>
    <w:rPr>
      <w:rFonts w:ascii="メイリオ" w:eastAsia="メイリオ" w:hAnsi="メイリオ" w:cs="メイリオ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nakayama masaki</cp:lastModifiedBy>
  <cp:revision>2</cp:revision>
  <dcterms:created xsi:type="dcterms:W3CDTF">2021-04-22T07:30:00Z</dcterms:created>
  <dcterms:modified xsi:type="dcterms:W3CDTF">2021-04-22T07:31:00Z</dcterms:modified>
</cp:coreProperties>
</file>