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120"/>
      </w:pPr>
      <w:r>
        <w:rPr>
          <w:rFonts w:ascii="Calibri" w:cs="Calibri" w:eastAsia="Calibri" w:hAnsi="Calibri"/>
          <w:b/>
          <w:bCs/>
          <w:caps/>
          <w:color w:val="1D3A6B"/>
          <w:sz w:val="20"/>
          <w:szCs w:val="20"/>
        </w:rPr>
        <w:t xml:space="preserve">TECHNICAL REQUIREMENTS</w:t>
      </w:r>
    </w:p>
    <w:p>
      <w:pPr>
        <w:spacing w:after="80"/>
      </w:pPr>
      <w:r>
        <w:rPr>
          <w:rFonts w:ascii="Calibri" w:cs="Calibri" w:eastAsia="Calibri" w:hAnsi="Calibri"/>
          <w:b/>
          <w:bCs/>
          <w:color w:val="7996AA"/>
          <w:sz w:val="56"/>
          <w:szCs w:val="56"/>
        </w:rPr>
        <w:t xml:space="preserve">Vectorworks + Claude API Integration</w:t>
      </w:r>
    </w:p>
    <w:p>
      <w:pPr>
        <w:spacing w:after="200"/>
      </w:pPr>
      <w:r>
        <w:rPr>
          <w:rFonts w:ascii="Calibri" w:cs="Calibri" w:eastAsia="Calibri" w:hAnsi="Calibri"/>
          <w:color w:val="1D3A6B"/>
          <w:sz w:val="28"/>
          <w:szCs w:val="28"/>
        </w:rPr>
        <w:t xml:space="preserve">Infrastructure Requirements for IT</w:t>
      </w:r>
    </w:p>
    <w:p>
      <w:pPr>
        <w:pBdr>
          <w:bottom w:val="single" w:color="D1BEA4" w:sz="4" w:space="1"/>
        </w:pBdr>
        <w:spacing w:after="80" w:before="80"/>
      </w:pP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CCCCC" w:sz="1"/>
              <w:left w:val="single" w:color="CCCCCC" w:sz="1"/>
              <w:bottom w:val="single" w:color="CCCCCC" w:sz="1"/>
              <w:right w:val="single" w:color="CCCCCC" w:sz="1"/>
            </w:tcBorders>
            <w:shd w:fill="1D3A6B" w:val="clear"/>
            <w:tcMar>
              <w:top w:type="dxa" w:w="60"/>
              <w:left w:type="dxa" w:w="100"/>
              <w:bottom w:type="dxa" w:w="60"/>
              <w:right w:type="dxa" w:w="100"/>
            </w:tcMar>
          </w:tcPr>
          <w:p>
            <w:r>
              <w:rPr>
                <w:rFonts w:ascii="Calibri" w:cs="Calibri" w:eastAsia="Calibri" w:hAnsi="Calibri"/>
                <w:b/>
                <w:bCs/>
                <w:color w:val="FFFFFF"/>
                <w:sz w:val="19"/>
                <w:szCs w:val="19"/>
              </w:rPr>
              <w:t xml:space="preserve">Field</w:t>
            </w:r>
          </w:p>
        </w:tc>
        <w:tc>
          <w:tcPr>
            <w:tcW w:type="dxa" w:w="6880"/>
            <w:tcBorders>
              <w:top w:val="single" w:color="CCCCCC" w:sz="1"/>
              <w:left w:val="single" w:color="CCCCCC" w:sz="1"/>
              <w:bottom w:val="single" w:color="CCCCCC" w:sz="1"/>
              <w:right w:val="single" w:color="CCCCCC" w:sz="1"/>
            </w:tcBorders>
            <w:shd w:fill="1D3A6B" w:val="clear"/>
            <w:tcMar>
              <w:top w:type="dxa" w:w="60"/>
              <w:left w:type="dxa" w:w="100"/>
              <w:bottom w:type="dxa" w:w="60"/>
              <w:right w:type="dxa" w:w="100"/>
            </w:tcMar>
          </w:tcPr>
          <w:p>
            <w:r>
              <w:rPr>
                <w:rFonts w:ascii="Calibri" w:cs="Calibri" w:eastAsia="Calibri" w:hAnsi="Calibri"/>
                <w:b/>
                <w:bCs/>
                <w:color w:val="FFFFFF"/>
                <w:sz w:val="19"/>
                <w:szCs w:val="19"/>
              </w:rPr>
              <w:t xml:space="preserve">Value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Prepared By</w:t>
            </w:r>
          </w:p>
        </w:tc>
        <w:tc>
          <w:tcPr>
            <w:tcW w:type="dxa" w:w="6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Jonathan (Vectorworks / CAD Operations)</w:t>
            </w:r>
          </w:p>
        </w:tc>
      </w:tr>
      <w:tr>
        <w:tc>
          <w:tcPr>
            <w:tcW w:type="dxa" w:w="32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Audience</w:t>
            </w:r>
          </w:p>
        </w:tc>
        <w:tc>
          <w:tcPr>
            <w:tcW w:type="dxa" w:w="688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Blue Peak IT Department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Date</w:t>
            </w:r>
          </w:p>
        </w:tc>
        <w:tc>
          <w:tcPr>
            <w:tcW w:type="dxa" w:w="6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April 2026</w:t>
            </w:r>
          </w:p>
        </w:tc>
      </w:tr>
      <w:tr>
        <w:tc>
          <w:tcPr>
            <w:tcW w:type="dxa" w:w="32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Classification</w:t>
            </w:r>
          </w:p>
        </w:tc>
        <w:tc>
          <w:tcPr>
            <w:tcW w:type="dxa" w:w="688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Internal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Status</w:t>
            </w:r>
          </w:p>
        </w:tc>
        <w:tc>
          <w:tcPr>
            <w:tcW w:type="dxa" w:w="6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Requirements Gathering</w:t>
            </w:r>
          </w:p>
        </w:tc>
      </w:tr>
    </w:tbl>
    <w:p>
      <w:pPr>
        <w:spacing w:after="80"/>
      </w:pPr>
    </w:p>
    <w:p>
      <w:pPr>
        <w:spacing w:after="120" w:line="276"/>
      </w:pPr>
      <w:r>
        <w:rPr>
          <w:rFonts w:ascii="Calibri" w:cs="Calibri" w:eastAsia="Calibri" w:hAnsi="Calibri"/>
          <w:b w:val="false"/>
          <w:bCs w:val="false"/>
          <w:i w:val="false"/>
          <w:iCs w:val="false"/>
          <w:color w:val="000000"/>
          <w:sz w:val="21"/>
          <w:szCs w:val="21"/>
        </w:rPr>
        <w:t xml:space="preserve">This document describes what the CAD team is building and what IT infrastructure is needed to support it. The CAD team handles all Vectorworks development and the sales-facing Claude Project. IT provides API access, Dataverse connectivity, UID system access, and shared storage.</w:t>
      </w:r>
    </w:p>
    <w:p>
      <w:pPr>
        <w:spacing w:after="80"/>
      </w:pPr>
    </w:p>
    <w:p>
      <w:pPr>
        <w:spacing w:after="120" w:line="276"/>
      </w:pPr>
      <w:r>
        <w:rPr>
          <w:rFonts w:ascii="Calibri" w:cs="Calibri" w:eastAsia="Calibri" w:hAnsi="Calibri"/>
          <w:b w:val="false"/>
          <w:bCs w:val="false"/>
          <w:i/>
          <w:iCs/>
          <w:color w:val="000000"/>
          <w:sz w:val="21"/>
          <w:szCs w:val="21"/>
        </w:rPr>
        <w:t xml:space="preserve">This document is also intended to be ingested by Claude as a reference. When IT uses Claude to assist with their portion of the integration, this document ensures Claude has the context needed to give guidance that does not conflict with the Vectorworks architecture.</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sz="0"/>
              <w:left w:val="none" w:sz="0"/>
              <w:bottom w:val="none" w:sz="0"/>
              <w:right w:val="none" w:sz="0"/>
            </w:tcBorders>
            <w:shd w:fill="1D3A6B" w:val="clear"/>
            <w:tcMar>
              <w:top w:type="dxa" w:w="60"/>
              <w:left w:type="dxa" w:w="160"/>
              <w:bottom w:type="dxa" w:w="60"/>
              <w:right w:type="dxa" w:w="160"/>
            </w:tcMar>
          </w:tcPr>
          <w:p>
            <w:r>
              <w:rPr>
                <w:rFonts w:ascii="Calibri" w:cs="Calibri" w:eastAsia="Calibri" w:hAnsi="Calibri"/>
                <w:b/>
                <w:bCs/>
                <w:color w:val="FFFFFF"/>
                <w:sz w:val="24"/>
                <w:szCs w:val="24"/>
              </w:rPr>
              <w:t xml:space="preserve">1. WHAT WE ARE BUILDING</w:t>
            </w:r>
          </w:p>
        </w:tc>
      </w:tr>
    </w:tbl>
    <w:p>
      <w:pPr>
        <w:spacing w:after="80"/>
      </w:pPr>
    </w:p>
    <w:p>
      <w:pPr>
        <w:spacing w:after="120" w:line="276"/>
      </w:pPr>
      <w:r>
        <w:rPr>
          <w:rFonts w:ascii="Calibri" w:cs="Calibri" w:eastAsia="Calibri" w:hAnsi="Calibri"/>
          <w:b w:val="false"/>
          <w:bCs w:val="false"/>
          <w:i w:val="false"/>
          <w:iCs w:val="false"/>
          <w:color w:val="000000"/>
          <w:sz w:val="21"/>
          <w:szCs w:val="21"/>
        </w:rPr>
        <w:t xml:space="preserve">Blue Peak is building an end-to-end pipeline from sales request to CAD drawing, with intelligent furniture layout generation. The system has three stages:</w:t>
      </w:r>
    </w:p>
    <w:p>
      <w:pPr>
        <w:spacing w:after="80"/>
      </w:pPr>
    </w:p>
    <w:p>
      <w:pPr>
        <w:spacing w:after="120" w:line="276"/>
      </w:pPr>
      <w:r>
        <w:rPr>
          <w:rFonts w:ascii="Calibri" w:cs="Calibri" w:eastAsia="Calibri" w:hAnsi="Calibri"/>
          <w:b/>
          <w:bCs/>
          <w:color w:val="000000"/>
          <w:sz w:val="21"/>
          <w:szCs w:val="21"/>
        </w:rPr>
        <w:t xml:space="preserve">Stage 1 — Sales Intake. </w:t>
      </w:r>
      <w:r>
        <w:rPr>
          <w:rFonts w:ascii="Calibri" w:cs="Calibri" w:eastAsia="Calibri" w:hAnsi="Calibri"/>
          <w:color w:val="000000"/>
          <w:sz w:val="21"/>
          <w:szCs w:val="21"/>
        </w:rPr>
        <w:t xml:space="preserve">A dedicated Claude Project where sales team members describe event requirements in natural language. Claude interprets the request using two knowledge domains: business knowledge (from Dataverse) defines what the client needs, and modeling knowledge (from custom CAD instruction documents) translates that into the exact model-space components. For example, when sales says '6m x 18m Arcum on 3.5m legs with glass on the south side,' the modeling knowledge tells Claude this means: Arcum roof beams, Arcum roof fabric, 3500mm upright legs, fabric walls on North/East/West faces, glass walls on South face. Claude produces a structured instruction file (.md) tagged with the project UID from Blue Peak's IT-managed ID system.</w:t>
      </w:r>
    </w:p>
    <w:p>
      <w:pPr>
        <w:spacing w:after="80"/>
      </w:pPr>
    </w:p>
    <w:p>
      <w:pPr>
        <w:spacing w:after="120" w:line="276"/>
      </w:pPr>
      <w:r>
        <w:rPr>
          <w:rFonts w:ascii="Calibri" w:cs="Calibri" w:eastAsia="Calibri" w:hAnsi="Calibri"/>
          <w:b/>
          <w:bCs/>
          <w:color w:val="000000"/>
          <w:sz w:val="21"/>
          <w:szCs w:val="21"/>
        </w:rPr>
        <w:t xml:space="preserve">Stage 2 — CAD Execution. </w:t>
      </w:r>
      <w:r>
        <w:rPr>
          <w:rFonts w:ascii="Calibri" w:cs="Calibri" w:eastAsia="Calibri" w:hAnsi="Calibri"/>
          <w:color w:val="000000"/>
          <w:sz w:val="21"/>
          <w:szCs w:val="21"/>
        </w:rPr>
        <w:t xml:space="preserve">A Vectorworks 2026 plugin command reads the instruction file, presents each tent for operator review, and places parametric tent assemblies in the drawing. The plugin routes each tent to the appropriate existing placement command (Place Structure Tent, Place Arcum Tent, etc.) with the correct parameters. Standard placement is parsed directly from the file with no API call required.</w:t>
      </w:r>
    </w:p>
    <w:p>
      <w:pPr>
        <w:spacing w:after="80"/>
      </w:pPr>
    </w:p>
    <w:p>
      <w:pPr>
        <w:spacing w:after="120" w:line="276"/>
      </w:pPr>
      <w:r>
        <w:rPr>
          <w:rFonts w:ascii="Calibri" w:cs="Calibri" w:eastAsia="Calibri" w:hAnsi="Calibri"/>
          <w:b/>
          <w:bCs/>
          <w:color w:val="000000"/>
          <w:sz w:val="21"/>
          <w:szCs w:val="21"/>
        </w:rPr>
        <w:t xml:space="preserve">Stage 3 — Smart Features. </w:t>
      </w:r>
      <w:r>
        <w:rPr>
          <w:rFonts w:ascii="Calibri" w:cs="Calibri" w:eastAsia="Calibri" w:hAnsi="Calibri"/>
          <w:color w:val="000000"/>
          <w:sz w:val="21"/>
          <w:szCs w:val="21"/>
        </w:rPr>
        <w:t xml:space="preserve">The Vectorworks plugin calls the Claude API directly for advanced capabilities: auto-generating furniture layouts inside placed tent bounds based on event type and guest count, interpreting site plan images for placement coordinates, and mid-workflow adjustments.</w:t>
      </w:r>
    </w:p>
    <w:p>
      <w:pPr>
        <w:spacing w:after="80"/>
      </w:pPr>
    </w:p>
    <w:p>
      <w:pPr>
        <w:spacing w:after="120" w:line="276"/>
      </w:pPr>
      <w:r>
        <w:rPr>
          <w:rFonts w:ascii="Calibri" w:cs="Calibri" w:eastAsia="Calibri" w:hAnsi="Calibri"/>
          <w:b w:val="false"/>
          <w:bCs w:val="false"/>
          <w:i w:val="false"/>
          <w:iCs w:val="false"/>
          <w:color w:val="000000"/>
          <w:sz w:val="21"/>
          <w:szCs w:val="21"/>
        </w:rPr>
        <w:t xml:space="preserve">The tent generation system is being redesigned with finer component granularity. Individual roof beam styles, multiple wall types (fabric, glass, railing), lattice and grid accessories, gable assemblies, and scaffolding sub-structures will all be independently selectable per bay and per side. Furniture auto-layout will use Blue Peak's existing furniture symbol library and layout standards from Dataverse.</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sz="0"/>
              <w:left w:val="none" w:sz="0"/>
              <w:bottom w:val="none" w:sz="0"/>
              <w:right w:val="none" w:sz="0"/>
            </w:tcBorders>
            <w:shd w:fill="1D3A6B" w:val="clear"/>
            <w:tcMar>
              <w:top w:type="dxa" w:w="60"/>
              <w:left w:type="dxa" w:w="160"/>
              <w:bottom w:type="dxa" w:w="60"/>
              <w:right w:type="dxa" w:w="160"/>
            </w:tcMar>
          </w:tcPr>
          <w:p>
            <w:r>
              <w:rPr>
                <w:rFonts w:ascii="Calibri" w:cs="Calibri" w:eastAsia="Calibri" w:hAnsi="Calibri"/>
                <w:b/>
                <w:bCs/>
                <w:color w:val="FFFFFF"/>
                <w:sz w:val="24"/>
                <w:szCs w:val="24"/>
              </w:rPr>
              <w:t xml:space="preserve">2. WHAT IT NEEDS TO PROVIDE</w:t>
            </w:r>
          </w:p>
        </w:tc>
      </w:tr>
    </w:tbl>
    <w:p>
      <w:pPr>
        <w:spacing w:after="80"/>
      </w:pPr>
    </w:p>
    <w:p>
      <w:pPr>
        <w:spacing w:after="120" w:before="240"/>
      </w:pPr>
      <w:r>
        <w:rPr>
          <w:rFonts w:ascii="Calibri" w:cs="Calibri" w:eastAsia="Calibri" w:hAnsi="Calibri"/>
          <w:b/>
          <w:bCs/>
          <w:color w:val="7996AA"/>
          <w:sz w:val="28"/>
          <w:szCs w:val="28"/>
        </w:rPr>
        <w:t xml:space="preserve">2.1 Claude API Access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D3A6B" w:val="clear"/>
            <w:tcMar>
              <w:top w:type="dxa" w:w="60"/>
              <w:left w:type="dxa" w:w="100"/>
              <w:bottom w:type="dxa" w:w="60"/>
              <w:right w:type="dxa" w:w="100"/>
            </w:tcMar>
          </w:tcPr>
          <w:p>
            <w:r>
              <w:rPr>
                <w:rFonts w:ascii="Calibri" w:cs="Calibri" w:eastAsia="Calibri" w:hAnsi="Calibri"/>
                <w:b/>
                <w:bCs/>
                <w:color w:val="FFFFFF"/>
                <w:sz w:val="19"/>
                <w:szCs w:val="19"/>
              </w:rPr>
              <w:t xml:space="preserve">Requirement</w:t>
            </w:r>
          </w:p>
        </w:tc>
        <w:tc>
          <w:tcPr>
            <w:tcW w:type="dxa" w:w="7080"/>
            <w:tcBorders>
              <w:top w:val="single" w:color="CCCCCC" w:sz="1"/>
              <w:left w:val="single" w:color="CCCCCC" w:sz="1"/>
              <w:bottom w:val="single" w:color="CCCCCC" w:sz="1"/>
              <w:right w:val="single" w:color="CCCCCC" w:sz="1"/>
            </w:tcBorders>
            <w:shd w:fill="1D3A6B" w:val="clear"/>
            <w:tcMar>
              <w:top w:type="dxa" w:w="60"/>
              <w:left w:type="dxa" w:w="100"/>
              <w:bottom w:type="dxa" w:w="60"/>
              <w:right w:type="dxa" w:w="100"/>
            </w:tcMar>
          </w:tcPr>
          <w:p>
            <w:r>
              <w:rPr>
                <w:rFonts w:ascii="Calibri" w:cs="Calibri" w:eastAsia="Calibri" w:hAnsi="Calibri"/>
                <w:b/>
                <w:bCs/>
                <w:color w:val="FFFFFF"/>
                <w:sz w:val="19"/>
                <w:szCs w:val="19"/>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API key</w:t>
            </w:r>
          </w:p>
        </w:tc>
        <w:tc>
          <w:tcPr>
            <w:tcW w:type="dxa" w:w="7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Provisioned under the Blue Peak organization account</w:t>
            </w:r>
          </w:p>
        </w:tc>
      </w:tr>
      <w:tr>
        <w:tc>
          <w:tcPr>
            <w:tcW w:type="dxa" w:w="30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Deployment</w:t>
            </w:r>
          </w:p>
        </w:tc>
        <w:tc>
          <w:tcPr>
            <w:tcW w:type="dxa" w:w="708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Delivered securely to CAD workstation; stored as Windows environment variable (ANTHROPIC_API_KEY)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Model access</w:t>
            </w:r>
          </w:p>
        </w:tc>
        <w:tc>
          <w:tcPr>
            <w:tcW w:type="dxa" w:w="7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Claude Sonnet 4.6 or later</w:t>
            </w:r>
          </w:p>
        </w:tc>
      </w:tr>
      <w:tr>
        <w:tc>
          <w:tcPr>
            <w:tcW w:type="dxa" w:w="30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Endpoint</w:t>
            </w:r>
          </w:p>
        </w:tc>
        <w:tc>
          <w:tcPr>
            <w:tcW w:type="dxa" w:w="708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POST https://api.anthropic.com/v1/messages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Estimated usage</w:t>
            </w:r>
          </w:p>
        </w:tc>
        <w:tc>
          <w:tcPr>
            <w:tcW w:type="dxa" w:w="7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Low volume: 10-50 requests per day during busy season</w:t>
            </w:r>
          </w:p>
        </w:tc>
      </w:tr>
      <w:tr>
        <w:tc>
          <w:tcPr>
            <w:tcW w:type="dxa" w:w="30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Estimated cost</w:t>
            </w:r>
          </w:p>
        </w:tc>
        <w:tc>
          <w:tcPr>
            <w:tcW w:type="dxa" w:w="708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Under $5/day at typical usage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Called from</w:t>
            </w:r>
          </w:p>
        </w:tc>
        <w:tc>
          <w:tcPr>
            <w:tcW w:type="dxa" w:w="7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Vectorworks Python plugin (urllib.request) and claude.ai Projects (sales intake)</w:t>
            </w:r>
          </w:p>
        </w:tc>
      </w:tr>
    </w:tbl>
    <w:p>
      <w:pPr>
        <w:spacing w:after="80"/>
      </w:pPr>
    </w:p>
    <w:p>
      <w:pPr>
        <w:spacing w:after="120" w:before="240"/>
      </w:pPr>
      <w:r>
        <w:rPr>
          <w:rFonts w:ascii="Calibri" w:cs="Calibri" w:eastAsia="Calibri" w:hAnsi="Calibri"/>
          <w:b/>
          <w:bCs/>
          <w:color w:val="7996AA"/>
          <w:sz w:val="28"/>
          <w:szCs w:val="28"/>
        </w:rPr>
        <w:t xml:space="preserve">2.2 Dataverse Access</w:t>
      </w:r>
    </w:p>
    <w:p>
      <w:pPr>
        <w:spacing w:after="120" w:line="276"/>
      </w:pPr>
      <w:r>
        <w:rPr>
          <w:rFonts w:ascii="Calibri" w:cs="Calibri" w:eastAsia="Calibri" w:hAnsi="Calibri"/>
          <w:b w:val="false"/>
          <w:bCs w:val="false"/>
          <w:i w:val="false"/>
          <w:iCs w:val="false"/>
          <w:color w:val="000000"/>
          <w:sz w:val="21"/>
          <w:szCs w:val="21"/>
        </w:rPr>
        <w:t xml:space="preserve">Dataverse provides the business knowledge domain: product catalog, inventory, capacity tables, accessory compatibility, furniture catalog, layout standards, and site requirements. Dataverse does not need to contain any Vectorworks modeling data; that is a separate domain maintained by the CAD team.</w:t>
      </w:r>
    </w:p>
    <w:p>
      <w:pPr>
        <w:spacing w:after="80"/>
      </w:pPr>
    </w:p>
    <w:p>
      <w:pPr>
        <w:spacing w:after="120" w:line="276"/>
      </w:pPr>
      <w:r>
        <w:rPr>
          <w:rFonts w:ascii="Calibri" w:cs="Calibri" w:eastAsia="Calibri" w:hAnsi="Calibri"/>
          <w:b/>
          <w:bCs/>
          <w:color w:val="000000"/>
          <w:sz w:val="21"/>
          <w:szCs w:val="21"/>
        </w:rPr>
        <w:t xml:space="preserve">Preferred: </w:t>
      </w:r>
      <w:r>
        <w:rPr>
          <w:rFonts w:ascii="Calibri" w:cs="Calibri" w:eastAsia="Calibri" w:hAnsi="Calibri"/>
          <w:color w:val="000000"/>
          <w:sz w:val="21"/>
          <w:szCs w:val="21"/>
        </w:rPr>
        <w:t xml:space="preserve">Direct connector or API endpoint that the Claude Project or Claude API tool-use can query at runtime. Read-only access scoped to product and inventory tables.</w:t>
      </w:r>
    </w:p>
    <w:p>
      <w:pPr>
        <w:spacing w:after="80"/>
      </w:pPr>
    </w:p>
    <w:p>
      <w:pPr>
        <w:spacing w:after="120" w:line="276"/>
      </w:pPr>
      <w:r>
        <w:rPr>
          <w:rFonts w:ascii="Calibri" w:cs="Calibri" w:eastAsia="Calibri" w:hAnsi="Calibri"/>
          <w:b/>
          <w:bCs/>
          <w:color w:val="000000"/>
          <w:sz w:val="21"/>
          <w:szCs w:val="21"/>
        </w:rPr>
        <w:t xml:space="preserve">Fallback: </w:t>
      </w:r>
      <w:r>
        <w:rPr>
          <w:rFonts w:ascii="Calibri" w:cs="Calibri" w:eastAsia="Calibri" w:hAnsi="Calibri"/>
          <w:color w:val="000000"/>
          <w:sz w:val="21"/>
          <w:szCs w:val="21"/>
        </w:rPr>
        <w:t xml:space="preserve">Periodic extraction of relevant tables into structured .md files that the CAD team loads into the Claude Project manually.</w:t>
      </w:r>
    </w:p>
    <w:p>
      <w:pPr>
        <w:spacing w:after="80"/>
      </w:pPr>
    </w:p>
    <w:p>
      <w:pPr>
        <w:spacing w:after="120" w:line="276"/>
      </w:pPr>
      <w:r>
        <w:rPr>
          <w:rFonts w:ascii="Calibri" w:cs="Calibri" w:eastAsia="Calibri" w:hAnsi="Calibri"/>
          <w:b/>
          <w:bCs/>
          <w:color w:val="000000"/>
          <w:sz w:val="21"/>
          <w:szCs w:val="21"/>
        </w:rPr>
        <w:t xml:space="preserve">Tables Claude needs access to:</w:t>
      </w:r>
    </w:p>
    <w:p>
      <w:pPr>
        <w:pStyle w:val="ListParagraph"/>
        <w:numPr>
          <w:ilvl w:val="0"/>
          <w:numId w:val="2"/>
        </w:numPr>
        <w:spacing w:after="60" w:line="276"/>
      </w:pPr>
      <w:r>
        <w:rPr>
          <w:rFonts w:ascii="Calibri" w:cs="Calibri" w:eastAsia="Calibri" w:hAnsi="Calibri"/>
          <w:color w:val="000000"/>
          <w:sz w:val="21"/>
          <w:szCs w:val="21"/>
        </w:rPr>
        <w:t xml:space="preserve">Tent product catalog (styles, available sizes, component options)</w:t>
      </w:r>
    </w:p>
    <w:p>
      <w:pPr>
        <w:pStyle w:val="ListParagraph"/>
        <w:numPr>
          <w:ilvl w:val="0"/>
          <w:numId w:val="2"/>
        </w:numPr>
        <w:spacing w:after="60" w:line="276"/>
      </w:pPr>
      <w:r>
        <w:rPr>
          <w:rFonts w:ascii="Calibri" w:cs="Calibri" w:eastAsia="Calibri" w:hAnsi="Calibri"/>
          <w:color w:val="000000"/>
          <w:sz w:val="21"/>
          <w:szCs w:val="21"/>
        </w:rPr>
        <w:t xml:space="preserve">Current inventory (what Blue Peak owns, quantities)</w:t>
      </w:r>
    </w:p>
    <w:p>
      <w:pPr>
        <w:pStyle w:val="ListParagraph"/>
        <w:numPr>
          <w:ilvl w:val="0"/>
          <w:numId w:val="2"/>
        </w:numPr>
        <w:spacing w:after="60" w:line="276"/>
      </w:pPr>
      <w:r>
        <w:rPr>
          <w:rFonts w:ascii="Calibri" w:cs="Calibri" w:eastAsia="Calibri" w:hAnsi="Calibri"/>
          <w:color w:val="000000"/>
          <w:sz w:val="21"/>
          <w:szCs w:val="21"/>
        </w:rPr>
        <w:t xml:space="preserve">Capacity tables (guest count per square foot by event type)</w:t>
      </w:r>
    </w:p>
    <w:p>
      <w:pPr>
        <w:pStyle w:val="ListParagraph"/>
        <w:numPr>
          <w:ilvl w:val="0"/>
          <w:numId w:val="2"/>
        </w:numPr>
        <w:spacing w:after="60" w:line="276"/>
      </w:pPr>
      <w:r>
        <w:rPr>
          <w:rFonts w:ascii="Calibri" w:cs="Calibri" w:eastAsia="Calibri" w:hAnsi="Calibri"/>
          <w:color w:val="000000"/>
          <w:sz w:val="21"/>
          <w:szCs w:val="21"/>
        </w:rPr>
        <w:t xml:space="preserve">Accessory catalog (wall styles, flooring, liners, lighting, gutters)</w:t>
      </w:r>
    </w:p>
    <w:p>
      <w:pPr>
        <w:pStyle w:val="ListParagraph"/>
        <w:numPr>
          <w:ilvl w:val="0"/>
          <w:numId w:val="2"/>
        </w:numPr>
        <w:spacing w:after="60" w:line="276"/>
      </w:pPr>
      <w:r>
        <w:rPr>
          <w:rFonts w:ascii="Calibri" w:cs="Calibri" w:eastAsia="Calibri" w:hAnsi="Calibri"/>
          <w:color w:val="000000"/>
          <w:sz w:val="21"/>
          <w:szCs w:val="21"/>
        </w:rPr>
        <w:t xml:space="preserve">Furniture catalog (tables, chairs, staging, bars, dance floors, lounges)</w:t>
      </w:r>
    </w:p>
    <w:p>
      <w:pPr>
        <w:pStyle w:val="ListParagraph"/>
        <w:numPr>
          <w:ilvl w:val="0"/>
          <w:numId w:val="2"/>
        </w:numPr>
        <w:spacing w:after="60" w:line="276"/>
      </w:pPr>
      <w:r>
        <w:rPr>
          <w:rFonts w:ascii="Calibri" w:cs="Calibri" w:eastAsia="Calibri" w:hAnsi="Calibri"/>
          <w:color w:val="000000"/>
          <w:sz w:val="21"/>
          <w:szCs w:val="21"/>
        </w:rPr>
        <w:t xml:space="preserve">Layout standards (spacing rules, circulation, ADA compliance, fire code)</w:t>
      </w:r>
    </w:p>
    <w:p>
      <w:pPr>
        <w:pStyle w:val="ListParagraph"/>
        <w:numPr>
          <w:ilvl w:val="0"/>
          <w:numId w:val="2"/>
        </w:numPr>
        <w:spacing w:after="60" w:line="276"/>
      </w:pPr>
      <w:r>
        <w:rPr>
          <w:rFonts w:ascii="Calibri" w:cs="Calibri" w:eastAsia="Calibri" w:hAnsi="Calibri"/>
          <w:color w:val="000000"/>
          <w:sz w:val="21"/>
          <w:szCs w:val="21"/>
        </w:rPr>
        <w:t xml:space="preserve">Site requirement rules (clearances, anchoring, power needs)</w:t>
      </w:r>
    </w:p>
    <w:p>
      <w:pPr>
        <w:spacing w:after="80"/>
      </w:pPr>
    </w:p>
    <w:p>
      <w:pPr>
        <w:spacing w:after="120" w:before="240"/>
      </w:pPr>
      <w:r>
        <w:rPr>
          <w:rFonts w:ascii="Calibri" w:cs="Calibri" w:eastAsia="Calibri" w:hAnsi="Calibri"/>
          <w:b/>
          <w:bCs/>
          <w:color w:val="7996AA"/>
          <w:sz w:val="28"/>
          <w:szCs w:val="28"/>
        </w:rPr>
        <w:t xml:space="preserve">2.3 UID System Access</w:t>
      </w:r>
    </w:p>
    <w:p>
      <w:pPr>
        <w:spacing w:after="120" w:line="276"/>
      </w:pPr>
      <w:r>
        <w:rPr>
          <w:rFonts w:ascii="Calibri" w:cs="Calibri" w:eastAsia="Calibri" w:hAnsi="Calibri"/>
          <w:b w:val="false"/>
          <w:bCs w:val="false"/>
          <w:i w:val="false"/>
          <w:iCs w:val="false"/>
          <w:color w:val="000000"/>
          <w:sz w:val="21"/>
          <w:szCs w:val="21"/>
        </w:rPr>
        <w:t xml:space="preserve">Blue Peak's IT architecture includes a UID system that assigns a unique identifier to every project. This UID is referenced across QuickBooks, HubSpot, and other organizational systems. The CAD team will piggyback on this existing UID system to keep instruction files and Vectorworks project files in sync with partner documents across the organization.</w:t>
      </w:r>
    </w:p>
    <w:p>
      <w:pPr>
        <w:spacing w:after="80"/>
      </w:pPr>
    </w:p>
    <w:p>
      <w:pPr>
        <w:spacing w:after="120" w:line="276"/>
      </w:pPr>
      <w:r>
        <w:rPr>
          <w:rFonts w:ascii="Calibri" w:cs="Calibri" w:eastAsia="Calibri" w:hAnsi="Calibri"/>
          <w:b/>
          <w:bCs/>
          <w:color w:val="000000"/>
          <w:sz w:val="21"/>
          <w:szCs w:val="21"/>
        </w:rPr>
        <w:t xml:space="preserve">Requirement: </w:t>
      </w:r>
      <w:r>
        <w:rPr>
          <w:rFonts w:ascii="Calibri" w:cs="Calibri" w:eastAsia="Calibri" w:hAnsi="Calibri"/>
          <w:color w:val="000000"/>
          <w:sz w:val="21"/>
          <w:szCs w:val="21"/>
        </w:rPr>
        <w:t xml:space="preserve">The sales-facing Claude Project needs the ability to receive or look up the project UID during the intake conversation. At minimum, the sales rep provides the UID manually (they will have it from project creation). If Dataverse integration supports it, Claude could look up the UID automatically. The CAD team does not need to generate UIDs; we consume the existing ones.</w:t>
      </w:r>
    </w:p>
    <w:p>
      <w:pPr>
        <w:spacing w:after="80"/>
      </w:pPr>
    </w:p>
    <w:p>
      <w:pPr>
        <w:spacing w:after="120" w:before="240"/>
      </w:pPr>
      <w:r>
        <w:rPr>
          <w:rFonts w:ascii="Calibri" w:cs="Calibri" w:eastAsia="Calibri" w:hAnsi="Calibri"/>
          <w:b/>
          <w:bCs/>
          <w:color w:val="7996AA"/>
          <w:sz w:val="28"/>
          <w:szCs w:val="28"/>
        </w:rPr>
        <w:t xml:space="preserve">2.4 Shared Storage Location</w:t>
      </w:r>
    </w:p>
    <w:p>
      <w:pPr>
        <w:spacing w:after="120" w:line="276"/>
      </w:pPr>
      <w:r>
        <w:rPr>
          <w:rFonts w:ascii="Calibri" w:cs="Calibri" w:eastAsia="Calibri" w:hAnsi="Calibri"/>
          <w:b w:val="false"/>
          <w:bCs w:val="false"/>
          <w:i w:val="false"/>
          <w:iCs w:val="false"/>
          <w:color w:val="000000"/>
          <w:sz w:val="21"/>
          <w:szCs w:val="21"/>
        </w:rPr>
        <w:t xml:space="preserve">A folder accessible from the CAD workstation where .md instruction files are stored.</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D3A6B" w:val="clear"/>
            <w:tcMar>
              <w:top w:type="dxa" w:w="60"/>
              <w:left w:type="dxa" w:w="100"/>
              <w:bottom w:type="dxa" w:w="60"/>
              <w:right w:type="dxa" w:w="100"/>
            </w:tcMar>
          </w:tcPr>
          <w:p>
            <w:r>
              <w:rPr>
                <w:rFonts w:ascii="Calibri" w:cs="Calibri" w:eastAsia="Calibri" w:hAnsi="Calibri"/>
                <w:b/>
                <w:bCs/>
                <w:color w:val="FFFFFF"/>
                <w:sz w:val="19"/>
                <w:szCs w:val="19"/>
              </w:rPr>
              <w:t xml:space="preserve">Option</w:t>
            </w:r>
          </w:p>
        </w:tc>
        <w:tc>
          <w:tcPr>
            <w:tcW w:type="dxa" w:w="7080"/>
            <w:tcBorders>
              <w:top w:val="single" w:color="CCCCCC" w:sz="1"/>
              <w:left w:val="single" w:color="CCCCCC" w:sz="1"/>
              <w:bottom w:val="single" w:color="CCCCCC" w:sz="1"/>
              <w:right w:val="single" w:color="CCCCCC" w:sz="1"/>
            </w:tcBorders>
            <w:shd w:fill="1D3A6B" w:val="clear"/>
            <w:tcMar>
              <w:top w:type="dxa" w:w="60"/>
              <w:left w:type="dxa" w:w="100"/>
              <w:bottom w:type="dxa" w:w="60"/>
              <w:right w:type="dxa" w:w="100"/>
            </w:tcMar>
          </w:tcPr>
          <w:p>
            <w:r>
              <w:rPr>
                <w:rFonts w:ascii="Calibri" w:cs="Calibri" w:eastAsia="Calibri" w:hAnsi="Calibri"/>
                <w:b/>
                <w:bCs/>
                <w:color w:val="FFFFFF"/>
                <w:sz w:val="19"/>
                <w:szCs w:val="19"/>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OneDrive (Blue Peak Shared)</w:t>
            </w:r>
          </w:p>
        </w:tc>
        <w:tc>
          <w:tcPr>
            <w:tcW w:type="dxa" w:w="7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Already in use for VW symbol libraries; simplest option</w:t>
            </w:r>
          </w:p>
        </w:tc>
      </w:tr>
      <w:tr>
        <w:tc>
          <w:tcPr>
            <w:tcW w:type="dxa" w:w="30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SharePoint Document Library</w:t>
            </w:r>
          </w:p>
        </w:tc>
        <w:tc>
          <w:tcPr>
            <w:tcW w:type="dxa" w:w="708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Better access control; can trigger Power Automate notifications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Local network path</w:t>
            </w:r>
          </w:p>
        </w:tc>
        <w:tc>
          <w:tcPr>
            <w:tcW w:type="dxa" w:w="7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Fastest; no sync latency; only works on-premises</w:t>
            </w:r>
          </w:p>
        </w:tc>
      </w:tr>
    </w:tbl>
    <w:p>
      <w:pPr>
        <w:spacing w:after="80"/>
      </w:pPr>
    </w:p>
    <w:p>
      <w:pPr>
        <w:spacing w:after="120" w:line="276"/>
      </w:pPr>
      <w:r>
        <w:rPr>
          <w:rFonts w:ascii="Calibri" w:cs="Calibri" w:eastAsia="Calibri" w:hAnsi="Calibri"/>
          <w:b w:val="false"/>
          <w:bCs w:val="false"/>
          <w:i w:val="false"/>
          <w:iCs w:val="false"/>
          <w:color w:val="000000"/>
          <w:sz w:val="21"/>
          <w:szCs w:val="21"/>
        </w:rPr>
        <w:t xml:space="preserve">The CAD team defines the subfolder structure. IT confirms the root location and ensures read/write access from the CAD workstation.</w:t>
      </w:r>
    </w:p>
    <w:p>
      <w:pPr>
        <w:spacing w:after="80"/>
      </w:pPr>
    </w:p>
    <w:p>
      <w:pPr>
        <w:spacing w:after="120" w:before="240"/>
      </w:pPr>
      <w:r>
        <w:rPr>
          <w:rFonts w:ascii="Calibri" w:cs="Calibri" w:eastAsia="Calibri" w:hAnsi="Calibri"/>
          <w:b/>
          <w:bCs/>
          <w:color w:val="7996AA"/>
          <w:sz w:val="28"/>
          <w:szCs w:val="28"/>
        </w:rPr>
        <w:t xml:space="preserve">2.5 Network Permissions</w:t>
      </w:r>
    </w:p>
    <w:p>
      <w:pPr>
        <w:pStyle w:val="ListParagraph"/>
        <w:numPr>
          <w:ilvl w:val="0"/>
          <w:numId w:val="2"/>
        </w:numPr>
        <w:spacing w:after="60" w:line="276"/>
      </w:pPr>
      <w:r>
        <w:rPr>
          <w:rFonts w:ascii="Calibri" w:cs="Calibri" w:eastAsia="Calibri" w:hAnsi="Calibri"/>
          <w:color w:val="000000"/>
          <w:sz w:val="21"/>
          <w:szCs w:val="21"/>
        </w:rPr>
        <w:t xml:space="preserve">CAD workstation must make outbound HTTPS calls to api.anthropic.com (port 443)</w:t>
      </w:r>
    </w:p>
    <w:p>
      <w:pPr>
        <w:pStyle w:val="ListParagraph"/>
        <w:numPr>
          <w:ilvl w:val="0"/>
          <w:numId w:val="2"/>
        </w:numPr>
        <w:spacing w:after="60" w:line="276"/>
      </w:pPr>
      <w:r>
        <w:rPr>
          <w:rFonts w:ascii="Calibri" w:cs="Calibri" w:eastAsia="Calibri" w:hAnsi="Calibri"/>
          <w:color w:val="000000"/>
          <w:sz w:val="21"/>
          <w:szCs w:val="21"/>
        </w:rPr>
        <w:t xml:space="preserve">CAD workstation must have read/write access to the shared storage location</w:t>
      </w:r>
    </w:p>
    <w:p>
      <w:pPr>
        <w:pStyle w:val="ListParagraph"/>
        <w:numPr>
          <w:ilvl w:val="0"/>
          <w:numId w:val="2"/>
        </w:numPr>
        <w:spacing w:after="60" w:line="276"/>
      </w:pPr>
      <w:r>
        <w:rPr>
          <w:rFonts w:ascii="Calibri" w:cs="Calibri" w:eastAsia="Calibri" w:hAnsi="Calibri"/>
          <w:color w:val="000000"/>
          <w:sz w:val="21"/>
          <w:szCs w:val="21"/>
        </w:rPr>
        <w:t xml:space="preserve">No inbound ports or firewall rules required; all communication is outbound</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sz="0"/>
              <w:left w:val="none" w:sz="0"/>
              <w:bottom w:val="none" w:sz="0"/>
              <w:right w:val="none" w:sz="0"/>
            </w:tcBorders>
            <w:shd w:fill="1D3A6B" w:val="clear"/>
            <w:tcMar>
              <w:top w:type="dxa" w:w="60"/>
              <w:left w:type="dxa" w:w="160"/>
              <w:bottom w:type="dxa" w:w="60"/>
              <w:right w:type="dxa" w:w="160"/>
            </w:tcMar>
          </w:tcPr>
          <w:p>
            <w:r>
              <w:rPr>
                <w:rFonts w:ascii="Calibri" w:cs="Calibri" w:eastAsia="Calibri" w:hAnsi="Calibri"/>
                <w:b/>
                <w:bCs/>
                <w:color w:val="FFFFFF"/>
                <w:sz w:val="24"/>
                <w:szCs w:val="24"/>
              </w:rPr>
              <w:t xml:space="preserve">3. KNOWLEDGE DOMAIN SEPARATION</w:t>
            </w:r>
          </w:p>
        </w:tc>
      </w:tr>
    </w:tbl>
    <w:p>
      <w:pPr>
        <w:spacing w:after="80"/>
      </w:pPr>
    </w:p>
    <w:p>
      <w:pPr>
        <w:spacing w:after="120" w:line="276"/>
      </w:pPr>
      <w:r>
        <w:rPr>
          <w:rFonts w:ascii="Calibri" w:cs="Calibri" w:eastAsia="Calibri" w:hAnsi="Calibri"/>
          <w:b w:val="false"/>
          <w:bCs w:val="false"/>
          <w:i w:val="false"/>
          <w:iCs w:val="false"/>
          <w:color w:val="000000"/>
          <w:sz w:val="21"/>
          <w:szCs w:val="21"/>
        </w:rPr>
        <w:t xml:space="preserve">The system draws from two independent knowledge domains. Understanding the distinction is critical because IT manages access to one domain (business knowledge via Dataverse) while the CAD team manages the other (modeling knowledge via project documents).</w:t>
      </w:r>
    </w:p>
    <w:p>
      <w:pPr>
        <w:spacing w:after="80"/>
      </w:pPr>
    </w:p>
    <w:p>
      <w:pPr>
        <w:spacing w:after="120" w:before="240"/>
      </w:pPr>
      <w:r>
        <w:rPr>
          <w:rFonts w:ascii="Calibri" w:cs="Calibri" w:eastAsia="Calibri" w:hAnsi="Calibri"/>
          <w:b/>
          <w:bCs/>
          <w:color w:val="7996AA"/>
          <w:sz w:val="28"/>
          <w:szCs w:val="28"/>
        </w:rPr>
        <w:t xml:space="preserve">3.1 Business Knowledge (Source: Dataverse)</w:t>
      </w:r>
    </w:p>
    <w:p>
      <w:pPr>
        <w:spacing w:after="120" w:line="276"/>
      </w:pPr>
      <w:r>
        <w:rPr>
          <w:rFonts w:ascii="Calibri" w:cs="Calibri" w:eastAsia="Calibri" w:hAnsi="Calibri"/>
          <w:b w:val="false"/>
          <w:bCs w:val="false"/>
          <w:i w:val="false"/>
          <w:iCs w:val="false"/>
          <w:color w:val="000000"/>
          <w:sz w:val="21"/>
          <w:szCs w:val="21"/>
        </w:rPr>
        <w:t xml:space="preserve">Defines what the client needs. This is the language sales speaks: guest counts, event types, tent dimensions in feet or meters, wall descriptions, venue constraints. Business knowledge sets the boundaries for the job.</w:t>
      </w:r>
    </w:p>
    <w:p>
      <w:pPr>
        <w:spacing w:after="80"/>
      </w:pPr>
    </w:p>
    <w:p>
      <w:pPr>
        <w:spacing w:after="120" w:line="276"/>
      </w:pPr>
      <w:r>
        <w:rPr>
          <w:rFonts w:ascii="Calibri" w:cs="Calibri" w:eastAsia="Calibri" w:hAnsi="Calibri"/>
          <w:b/>
          <w:bCs/>
          <w:color w:val="000000"/>
          <w:sz w:val="21"/>
          <w:szCs w:val="21"/>
        </w:rPr>
        <w:t xml:space="preserve">Example sales request: </w:t>
      </w:r>
      <w:r>
        <w:rPr>
          <w:rFonts w:ascii="Calibri" w:cs="Calibri" w:eastAsia="Calibri" w:hAnsi="Calibri"/>
          <w:color w:val="000000"/>
          <w:sz w:val="21"/>
          <w:szCs w:val="21"/>
        </w:rPr>
        <w:t xml:space="preserve">"We need a 6m x 18m Arcum tent on 3.5m legs with fabric side walls on 3 sides and glass on the south side, seating for 120 guests at round tables."</w:t>
      </w:r>
    </w:p>
    <w:p>
      <w:pPr>
        <w:spacing w:after="80"/>
      </w:pPr>
    </w:p>
    <w:p>
      <w:pPr>
        <w:spacing w:after="120" w:line="276"/>
      </w:pPr>
      <w:r>
        <w:rPr>
          <w:rFonts w:ascii="Calibri" w:cs="Calibri" w:eastAsia="Calibri" w:hAnsi="Calibri"/>
          <w:b/>
          <w:bCs/>
          <w:color w:val="000000"/>
          <w:sz w:val="21"/>
          <w:szCs w:val="21"/>
        </w:rPr>
        <w:t xml:space="preserve">Maintained by: </w:t>
      </w:r>
      <w:r>
        <w:rPr>
          <w:rFonts w:ascii="Calibri" w:cs="Calibri" w:eastAsia="Calibri" w:hAnsi="Calibri"/>
          <w:color w:val="000000"/>
          <w:sz w:val="21"/>
          <w:szCs w:val="21"/>
        </w:rPr>
        <w:t xml:space="preserve">Operations, Sales, Product Management (via Dataverse)</w:t>
      </w:r>
    </w:p>
    <w:p>
      <w:pPr>
        <w:spacing w:after="80"/>
      </w:pPr>
    </w:p>
    <w:p>
      <w:pPr>
        <w:spacing w:after="120" w:before="240"/>
      </w:pPr>
      <w:r>
        <w:rPr>
          <w:rFonts w:ascii="Calibri" w:cs="Calibri" w:eastAsia="Calibri" w:hAnsi="Calibri"/>
          <w:b/>
          <w:bCs/>
          <w:color w:val="7996AA"/>
          <w:sz w:val="28"/>
          <w:szCs w:val="28"/>
        </w:rPr>
        <w:t xml:space="preserve">3.2 Modeling Knowledge (Source: Custom CAD Documents)</w:t>
      </w:r>
    </w:p>
    <w:p>
      <w:pPr>
        <w:spacing w:after="120" w:line="276"/>
      </w:pPr>
      <w:r>
        <w:rPr>
          <w:rFonts w:ascii="Calibri" w:cs="Calibri" w:eastAsia="Calibri" w:hAnsi="Calibri"/>
          <w:b w:val="false"/>
          <w:bCs w:val="false"/>
          <w:i w:val="false"/>
          <w:iCs w:val="false"/>
          <w:color w:val="000000"/>
          <w:sz w:val="21"/>
          <w:szCs w:val="21"/>
        </w:rPr>
        <w:t xml:space="preserve">Translates what sales asked for into exact model-space components. This is the dictionary that maps every possible sales-language request to its Vectorworks equivalent. The modeling knowledge documents tell Claude which symbols to place, what parameters to set, and how components relate to each other.</w:t>
      </w:r>
    </w:p>
    <w:p>
      <w:pPr>
        <w:spacing w:after="80"/>
      </w:pPr>
    </w:p>
    <w:p>
      <w:pPr>
        <w:spacing w:after="120" w:line="276"/>
      </w:pPr>
      <w:r>
        <w:rPr>
          <w:rFonts w:ascii="Calibri" w:cs="Calibri" w:eastAsia="Calibri" w:hAnsi="Calibri"/>
          <w:b/>
          <w:bCs/>
          <w:color w:val="000000"/>
          <w:sz w:val="21"/>
          <w:szCs w:val="21"/>
        </w:rPr>
        <w:t xml:space="preserve">Same request translated to model space: </w:t>
      </w:r>
      <w:r>
        <w:rPr>
          <w:rFonts w:ascii="Calibri" w:cs="Calibri" w:eastAsia="Calibri" w:hAnsi="Calibri"/>
          <w:color w:val="000000"/>
          <w:sz w:val="21"/>
          <w:szCs w:val="21"/>
        </w:rPr>
        <w:t xml:space="preserve">Arcum - 6m - Roof Beam (per bay), Arcum - 6m - Roof Fabric (per bay), Arcum - 3500mm - Upright Leg (per gable position), Arcum - 6m - Fabric Wall (North, East, West faces per bay), Arcum - 6m - Glass Wall (South face per bay). Bay count = 18m / bay spacing. Furniture layout: 120 guests at round tables = 15 tables, calculated positions within 6m x 18m interior bounds.</w:t>
      </w:r>
    </w:p>
    <w:p>
      <w:pPr>
        <w:spacing w:after="80"/>
      </w:pPr>
    </w:p>
    <w:p>
      <w:pPr>
        <w:spacing w:after="120" w:line="276"/>
      </w:pPr>
      <w:r>
        <w:rPr>
          <w:rFonts w:ascii="Calibri" w:cs="Calibri" w:eastAsia="Calibri" w:hAnsi="Calibri"/>
          <w:b/>
          <w:bCs/>
          <w:color w:val="000000"/>
          <w:sz w:val="21"/>
          <w:szCs w:val="21"/>
        </w:rPr>
        <w:t xml:space="preserve">Maintained by: </w:t>
      </w:r>
      <w:r>
        <w:rPr>
          <w:rFonts w:ascii="Calibri" w:cs="Calibri" w:eastAsia="Calibri" w:hAnsi="Calibri"/>
          <w:color w:val="000000"/>
          <w:sz w:val="21"/>
          <w:szCs w:val="21"/>
        </w:rPr>
        <w:t xml:space="preserve">CAD team (Jonathan), via project documents: VW-02, VW-09, VW-10, VW-12, and future additions</w:t>
      </w:r>
    </w:p>
    <w:p>
      <w:pPr>
        <w:spacing w:after="80"/>
      </w:pPr>
    </w:p>
    <w:p>
      <w:pPr>
        <w:spacing w:after="120" w:before="240"/>
      </w:pPr>
      <w:r>
        <w:rPr>
          <w:rFonts w:ascii="Calibri" w:cs="Calibri" w:eastAsia="Calibri" w:hAnsi="Calibri"/>
          <w:b/>
          <w:bCs/>
          <w:color w:val="7996AA"/>
          <w:sz w:val="28"/>
          <w:szCs w:val="28"/>
        </w:rPr>
        <w:t xml:space="preserve">3.3 How They Work Together</w:t>
      </w:r>
    </w:p>
    <w:p>
      <w:pPr>
        <w:spacing w:after="120" w:line="276"/>
      </w:pPr>
      <w:r>
        <w:rPr>
          <w:rFonts w:ascii="Calibri" w:cs="Calibri" w:eastAsia="Calibri" w:hAnsi="Calibri"/>
          <w:b w:val="false"/>
          <w:bCs w:val="false"/>
          <w:i w:val="false"/>
          <w:iCs w:val="false"/>
          <w:color w:val="000000"/>
          <w:sz w:val="21"/>
          <w:szCs w:val="21"/>
        </w:rPr>
        <w:t xml:space="preserve">Claude uses business knowledge to understand what the client needs, then uses modeling knowledge to translate that into the exact symbols, parameters, and coordinates that Vectorworks requires. The .md instruction file contains both: Section 1 is the human-readable brief in business language, Section 2 is the machine-readable data in model-space language.</w:t>
      </w:r>
    </w:p>
    <w:p>
      <w:pPr>
        <w:spacing w:after="80"/>
      </w:pPr>
    </w:p>
    <w:p>
      <w:pPr>
        <w:spacing w:after="120" w:line="276"/>
      </w:pPr>
      <w:r>
        <w:rPr>
          <w:rFonts w:ascii="Calibri" w:cs="Calibri" w:eastAsia="Calibri" w:hAnsi="Calibri"/>
          <w:b/>
          <w:bCs/>
          <w:color w:val="000000"/>
          <w:sz w:val="21"/>
          <w:szCs w:val="21"/>
        </w:rPr>
        <w:t xml:space="preserve">Key principle: </w:t>
      </w:r>
      <w:r>
        <w:rPr>
          <w:rFonts w:ascii="Calibri" w:cs="Calibri" w:eastAsia="Calibri" w:hAnsi="Calibri"/>
          <w:color w:val="000000"/>
          <w:sz w:val="21"/>
          <w:szCs w:val="21"/>
        </w:rPr>
        <w:t xml:space="preserve">Digital models are built to ideal measurements and are not constrained by current physical inventory. Inventory is a business-side concern handled by operations, not the drawing system.</w:t>
      </w:r>
    </w:p>
    <w:p>
      <w:pPr>
        <w:spacing w:after="80"/>
      </w:pPr>
    </w:p>
    <w:p>
      <w:pPr>
        <w:spacing w:after="120" w:line="276"/>
      </w:pPr>
      <w:r>
        <w:rPr>
          <w:rFonts w:ascii="Calibri" w:cs="Calibri" w:eastAsia="Calibri" w:hAnsi="Calibri"/>
          <w:b/>
          <w:bCs/>
          <w:color w:val="000000"/>
          <w:sz w:val="21"/>
          <w:szCs w:val="21"/>
        </w:rPr>
        <w:t xml:space="preserve">Implication for IT: </w:t>
      </w:r>
      <w:r>
        <w:rPr>
          <w:rFonts w:ascii="Calibri" w:cs="Calibri" w:eastAsia="Calibri" w:hAnsi="Calibri"/>
          <w:color w:val="000000"/>
          <w:sz w:val="21"/>
          <w:szCs w:val="21"/>
        </w:rPr>
        <w:t xml:space="preserve">Dataverse provides business knowledge only. IT does not need to manage, host, or version the modeling documents. If Dataverse schema changes, only the Dataverse connector needs updating. No Vectorworks changes are required.</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sz="0"/>
              <w:left w:val="none" w:sz="0"/>
              <w:bottom w:val="none" w:sz="0"/>
              <w:right w:val="none" w:sz="0"/>
            </w:tcBorders>
            <w:shd w:fill="1D3A6B" w:val="clear"/>
            <w:tcMar>
              <w:top w:type="dxa" w:w="60"/>
              <w:left w:type="dxa" w:w="160"/>
              <w:bottom w:type="dxa" w:w="60"/>
              <w:right w:type="dxa" w:w="160"/>
            </w:tcMar>
          </w:tcPr>
          <w:p>
            <w:r>
              <w:rPr>
                <w:rFonts w:ascii="Calibri" w:cs="Calibri" w:eastAsia="Calibri" w:hAnsi="Calibri"/>
                <w:b/>
                <w:bCs/>
                <w:color w:val="FFFFFF"/>
                <w:sz w:val="24"/>
                <w:szCs w:val="24"/>
              </w:rPr>
              <w:t xml:space="preserve">4. NAMING CONVENTIONS</w:t>
            </w:r>
          </w:p>
        </w:tc>
      </w:tr>
    </w:tbl>
    <w:p>
      <w:pPr>
        <w:spacing w:after="80"/>
      </w:pPr>
    </w:p>
    <w:p>
      <w:pPr>
        <w:spacing w:after="120" w:line="276"/>
      </w:pPr>
      <w:r>
        <w:rPr>
          <w:rFonts w:ascii="Calibri" w:cs="Calibri" w:eastAsia="Calibri" w:hAnsi="Calibri"/>
          <w:b w:val="false"/>
          <w:bCs w:val="false"/>
          <w:i w:val="false"/>
          <w:iCs w:val="false"/>
          <w:color w:val="000000"/>
          <w:sz w:val="21"/>
          <w:szCs w:val="21"/>
        </w:rPr>
        <w:t xml:space="preserve">These conventions are defined by the CAD team and must be respected by any system that references the same product data.</w:t>
      </w:r>
    </w:p>
    <w:p>
      <w:pPr>
        <w:spacing w:after="80"/>
      </w:pPr>
    </w:p>
    <w:p>
      <w:pPr>
        <w:spacing w:after="120" w:before="240"/>
      </w:pPr>
      <w:r>
        <w:rPr>
          <w:rFonts w:ascii="Calibri" w:cs="Calibri" w:eastAsia="Calibri" w:hAnsi="Calibri"/>
          <w:b/>
          <w:bCs/>
          <w:color w:val="7996AA"/>
          <w:sz w:val="28"/>
          <w:szCs w:val="28"/>
        </w:rPr>
        <w:t xml:space="preserve">4.1 Universal Symbol Naming Pattern</w:t>
      </w:r>
    </w:p>
    <w:p>
      <w:pPr>
        <w:spacing w:after="120" w:line="276"/>
      </w:pPr>
      <w:r>
        <w:rPr>
          <w:rFonts w:ascii="Consolas" w:cs="Consolas" w:eastAsia="Consolas" w:hAnsi="Consolas"/>
          <w:b/>
          <w:bCs/>
          <w:color w:val="000000"/>
          <w:sz w:val="21"/>
          <w:szCs w:val="21"/>
        </w:rPr>
        <w:t xml:space="preserve">[Type] - [Identifiers] - [Component]</w:t>
      </w:r>
    </w:p>
    <w:p>
      <w:pPr>
        <w:spacing w:after="80"/>
      </w:pPr>
    </w:p>
    <w:p>
      <w:pPr>
        <w:spacing w:after="120" w:line="276"/>
      </w:pPr>
      <w:r>
        <w:rPr>
          <w:rFonts w:ascii="Calibri" w:cs="Calibri" w:eastAsia="Calibri" w:hAnsi="Calibri"/>
          <w:b w:val="false"/>
          <w:bCs w:val="false"/>
          <w:i w:val="false"/>
          <w:iCs w:val="false"/>
          <w:color w:val="000000"/>
          <w:sz w:val="21"/>
          <w:szCs w:val="21"/>
        </w:rPr>
        <w:t xml:space="preserve">Spaces around all dashes. Title Case. Type always first. Component always last.</w:t>
      </w:r>
    </w:p>
    <w:p>
      <w:pPr>
        <w:spacing w:after="80"/>
      </w:pPr>
    </w:p>
    <w:p>
      <w:pPr>
        <w:spacing w:after="120" w:before="240"/>
      </w:pPr>
      <w:r>
        <w:rPr>
          <w:rFonts w:ascii="Calibri" w:cs="Calibri" w:eastAsia="Calibri" w:hAnsi="Calibri"/>
          <w:b/>
          <w:bCs/>
          <w:color w:val="7996AA"/>
          <w:sz w:val="28"/>
          <w:szCs w:val="28"/>
        </w:rPr>
        <w:t xml:space="preserve">4.2 Tent Symbol Examples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2000"/>
        <w:gridCol w:w="2480"/>
      </w:tblGrid>
      <w:tr>
        <w:tc>
          <w:tcPr>
            <w:tcW w:type="dxa" w:w="4200"/>
            <w:tcBorders>
              <w:top w:val="single" w:color="CCCCCC" w:sz="1"/>
              <w:left w:val="single" w:color="CCCCCC" w:sz="1"/>
              <w:bottom w:val="single" w:color="CCCCCC" w:sz="1"/>
              <w:right w:val="single" w:color="CCCCCC" w:sz="1"/>
            </w:tcBorders>
            <w:shd w:fill="1D3A6B" w:val="clear"/>
            <w:tcMar>
              <w:top w:type="dxa" w:w="60"/>
              <w:left w:type="dxa" w:w="100"/>
              <w:bottom w:type="dxa" w:w="60"/>
              <w:right w:type="dxa" w:w="100"/>
            </w:tcMar>
          </w:tcPr>
          <w:p>
            <w:r>
              <w:rPr>
                <w:rFonts w:ascii="Calibri" w:cs="Calibri" w:eastAsia="Calibri" w:hAnsi="Calibri"/>
                <w:b/>
                <w:bCs/>
                <w:color w:val="FFFFFF"/>
                <w:sz w:val="19"/>
                <w:szCs w:val="19"/>
              </w:rPr>
              <w:t xml:space="preserve">Symbol Name</w:t>
            </w:r>
          </w:p>
        </w:tc>
        <w:tc>
          <w:tcPr>
            <w:tcW w:type="dxa" w:w="1400"/>
            <w:tcBorders>
              <w:top w:val="single" w:color="CCCCCC" w:sz="1"/>
              <w:left w:val="single" w:color="CCCCCC" w:sz="1"/>
              <w:bottom w:val="single" w:color="CCCCCC" w:sz="1"/>
              <w:right w:val="single" w:color="CCCCCC" w:sz="1"/>
            </w:tcBorders>
            <w:shd w:fill="1D3A6B" w:val="clear"/>
            <w:tcMar>
              <w:top w:type="dxa" w:w="60"/>
              <w:left w:type="dxa" w:w="100"/>
              <w:bottom w:type="dxa" w:w="60"/>
              <w:right w:type="dxa" w:w="100"/>
            </w:tcMar>
          </w:tcPr>
          <w:p>
            <w:r>
              <w:rPr>
                <w:rFonts w:ascii="Calibri" w:cs="Calibri" w:eastAsia="Calibri" w:hAnsi="Calibri"/>
                <w:b/>
                <w:bCs/>
                <w:color w:val="FFFFFF"/>
                <w:sz w:val="19"/>
                <w:szCs w:val="19"/>
              </w:rPr>
              <w:t xml:space="preserve">Type</w:t>
            </w:r>
          </w:p>
        </w:tc>
        <w:tc>
          <w:tcPr>
            <w:tcW w:type="dxa" w:w="2000"/>
            <w:tcBorders>
              <w:top w:val="single" w:color="CCCCCC" w:sz="1"/>
              <w:left w:val="single" w:color="CCCCCC" w:sz="1"/>
              <w:bottom w:val="single" w:color="CCCCCC" w:sz="1"/>
              <w:right w:val="single" w:color="CCCCCC" w:sz="1"/>
            </w:tcBorders>
            <w:shd w:fill="1D3A6B" w:val="clear"/>
            <w:tcMar>
              <w:top w:type="dxa" w:w="60"/>
              <w:left w:type="dxa" w:w="100"/>
              <w:bottom w:type="dxa" w:w="60"/>
              <w:right w:type="dxa" w:w="100"/>
            </w:tcMar>
          </w:tcPr>
          <w:p>
            <w:r>
              <w:rPr>
                <w:rFonts w:ascii="Calibri" w:cs="Calibri" w:eastAsia="Calibri" w:hAnsi="Calibri"/>
                <w:b/>
                <w:bCs/>
                <w:color w:val="FFFFFF"/>
                <w:sz w:val="19"/>
                <w:szCs w:val="19"/>
              </w:rPr>
              <w:t xml:space="preserve">Identifiers</w:t>
            </w:r>
          </w:p>
        </w:tc>
        <w:tc>
          <w:tcPr>
            <w:tcW w:type="dxa" w:w="2480"/>
            <w:tcBorders>
              <w:top w:val="single" w:color="CCCCCC" w:sz="1"/>
              <w:left w:val="single" w:color="CCCCCC" w:sz="1"/>
              <w:bottom w:val="single" w:color="CCCCCC" w:sz="1"/>
              <w:right w:val="single" w:color="CCCCCC" w:sz="1"/>
            </w:tcBorders>
            <w:shd w:fill="1D3A6B" w:val="clear"/>
            <w:tcMar>
              <w:top w:type="dxa" w:w="60"/>
              <w:left w:type="dxa" w:w="100"/>
              <w:bottom w:type="dxa" w:w="60"/>
              <w:right w:type="dxa" w:w="100"/>
            </w:tcMar>
          </w:tcPr>
          <w:p>
            <w:r>
              <w:rPr>
                <w:rFonts w:ascii="Calibri" w:cs="Calibri" w:eastAsia="Calibri" w:hAnsi="Calibri"/>
                <w:b/>
                <w:bCs/>
                <w:color w:val="FFFFFF"/>
                <w:sz w:val="19"/>
                <w:szCs w:val="19"/>
              </w:rPr>
              <w:t xml:space="preserve">Component</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Structure - 3000mm - 3m - Gable Frame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Structure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3000mm, 3m</w:t>
            </w:r>
          </w:p>
        </w:tc>
        <w:tc>
          <w:tcPr>
            <w:tcW w:type="dxa" w:w="2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Gable Frame</w:t>
            </w:r>
          </w:p>
        </w:tc>
      </w:tr>
      <w:tr>
        <w:tc>
          <w:tcPr>
            <w:tcW w:type="dxa" w:w="42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Structure - 3000mm - 6m - Glass Wall</w:t>
            </w:r>
          </w:p>
        </w:tc>
        <w:tc>
          <w:tcPr>
            <w:tcW w:type="dxa" w:w="14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Structure</w:t>
            </w:r>
          </w:p>
        </w:tc>
        <w:tc>
          <w:tcPr>
            <w:tcW w:type="dxa" w:w="20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3000mm, 6m</w:t>
            </w:r>
          </w:p>
        </w:tc>
        <w:tc>
          <w:tcPr>
            <w:tcW w:type="dxa" w:w="248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Glass Wall</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Structure - 5000mm - 15m - Roof Fabric</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Structure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5000mm, 15m</w:t>
            </w:r>
          </w:p>
        </w:tc>
        <w:tc>
          <w:tcPr>
            <w:tcW w:type="dxa" w:w="2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Roof Fabric</w:t>
            </w:r>
          </w:p>
        </w:tc>
      </w:tr>
      <w:tr>
        <w:tc>
          <w:tcPr>
            <w:tcW w:type="dxa" w:w="42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Arcum - 6m - Roof Beam</w:t>
            </w:r>
          </w:p>
        </w:tc>
        <w:tc>
          <w:tcPr>
            <w:tcW w:type="dxa" w:w="14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Arcum</w:t>
            </w:r>
          </w:p>
        </w:tc>
        <w:tc>
          <w:tcPr>
            <w:tcW w:type="dxa" w:w="20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6m</w:t>
            </w:r>
          </w:p>
        </w:tc>
        <w:tc>
          <w:tcPr>
            <w:tcW w:type="dxa" w:w="248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Roof Beam</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Arcum - 3500mm - Upright Leg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Arcum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3500mm</w:t>
            </w:r>
          </w:p>
        </w:tc>
        <w:tc>
          <w:tcPr>
            <w:tcW w:type="dxa" w:w="2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Upright Leg</w:t>
            </w:r>
          </w:p>
        </w:tc>
      </w:tr>
      <w:tr>
        <w:tc>
          <w:tcPr>
            <w:tcW w:type="dxa" w:w="42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Sailcloth - 10ft - 45ft - Center Pole</w:t>
            </w:r>
          </w:p>
        </w:tc>
        <w:tc>
          <w:tcPr>
            <w:tcW w:type="dxa" w:w="14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Sailcloth</w:t>
            </w:r>
          </w:p>
        </w:tc>
        <w:tc>
          <w:tcPr>
            <w:tcW w:type="dxa" w:w="20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10ft, 45ft</w:t>
            </w:r>
          </w:p>
        </w:tc>
        <w:tc>
          <w:tcPr>
            <w:tcW w:type="dxa" w:w="248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Center Pole</w:t>
            </w:r>
          </w:p>
        </w:tc>
      </w:tr>
    </w:tbl>
    <w:p>
      <w:pPr>
        <w:spacing w:after="80"/>
      </w:pPr>
    </w:p>
    <w:p>
      <w:pPr>
        <w:spacing w:after="120" w:before="240"/>
      </w:pPr>
      <w:r>
        <w:rPr>
          <w:rFonts w:ascii="Calibri" w:cs="Calibri" w:eastAsia="Calibri" w:hAnsi="Calibri"/>
          <w:b/>
          <w:bCs/>
          <w:color w:val="7996AA"/>
          <w:sz w:val="28"/>
          <w:szCs w:val="28"/>
        </w:rPr>
        <w:t xml:space="preserve">4.3 Furniture Symbol Examples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2000"/>
        <w:gridCol w:w="2480"/>
      </w:tblGrid>
      <w:tr>
        <w:tc>
          <w:tcPr>
            <w:tcW w:type="dxa" w:w="4200"/>
            <w:tcBorders>
              <w:top w:val="single" w:color="CCCCCC" w:sz="1"/>
              <w:left w:val="single" w:color="CCCCCC" w:sz="1"/>
              <w:bottom w:val="single" w:color="CCCCCC" w:sz="1"/>
              <w:right w:val="single" w:color="CCCCCC" w:sz="1"/>
            </w:tcBorders>
            <w:shd w:fill="1D3A6B" w:val="clear"/>
            <w:tcMar>
              <w:top w:type="dxa" w:w="60"/>
              <w:left w:type="dxa" w:w="100"/>
              <w:bottom w:type="dxa" w:w="60"/>
              <w:right w:type="dxa" w:w="100"/>
            </w:tcMar>
          </w:tcPr>
          <w:p>
            <w:r>
              <w:rPr>
                <w:rFonts w:ascii="Calibri" w:cs="Calibri" w:eastAsia="Calibri" w:hAnsi="Calibri"/>
                <w:b/>
                <w:bCs/>
                <w:color w:val="FFFFFF"/>
                <w:sz w:val="19"/>
                <w:szCs w:val="19"/>
              </w:rPr>
              <w:t xml:space="preserve">Symbol Name</w:t>
            </w:r>
          </w:p>
        </w:tc>
        <w:tc>
          <w:tcPr>
            <w:tcW w:type="dxa" w:w="1400"/>
            <w:tcBorders>
              <w:top w:val="single" w:color="CCCCCC" w:sz="1"/>
              <w:left w:val="single" w:color="CCCCCC" w:sz="1"/>
              <w:bottom w:val="single" w:color="CCCCCC" w:sz="1"/>
              <w:right w:val="single" w:color="CCCCCC" w:sz="1"/>
            </w:tcBorders>
            <w:shd w:fill="1D3A6B" w:val="clear"/>
            <w:tcMar>
              <w:top w:type="dxa" w:w="60"/>
              <w:left w:type="dxa" w:w="100"/>
              <w:bottom w:type="dxa" w:w="60"/>
              <w:right w:type="dxa" w:w="100"/>
            </w:tcMar>
          </w:tcPr>
          <w:p>
            <w:r>
              <w:rPr>
                <w:rFonts w:ascii="Calibri" w:cs="Calibri" w:eastAsia="Calibri" w:hAnsi="Calibri"/>
                <w:b/>
                <w:bCs/>
                <w:color w:val="FFFFFF"/>
                <w:sz w:val="19"/>
                <w:szCs w:val="19"/>
              </w:rPr>
              <w:t xml:space="preserve">Type</w:t>
            </w:r>
          </w:p>
        </w:tc>
        <w:tc>
          <w:tcPr>
            <w:tcW w:type="dxa" w:w="2000"/>
            <w:tcBorders>
              <w:top w:val="single" w:color="CCCCCC" w:sz="1"/>
              <w:left w:val="single" w:color="CCCCCC" w:sz="1"/>
              <w:bottom w:val="single" w:color="CCCCCC" w:sz="1"/>
              <w:right w:val="single" w:color="CCCCCC" w:sz="1"/>
            </w:tcBorders>
            <w:shd w:fill="1D3A6B" w:val="clear"/>
            <w:tcMar>
              <w:top w:type="dxa" w:w="60"/>
              <w:left w:type="dxa" w:w="100"/>
              <w:bottom w:type="dxa" w:w="60"/>
              <w:right w:type="dxa" w:w="100"/>
            </w:tcMar>
          </w:tcPr>
          <w:p>
            <w:r>
              <w:rPr>
                <w:rFonts w:ascii="Calibri" w:cs="Calibri" w:eastAsia="Calibri" w:hAnsi="Calibri"/>
                <w:b/>
                <w:bCs/>
                <w:color w:val="FFFFFF"/>
                <w:sz w:val="19"/>
                <w:szCs w:val="19"/>
              </w:rPr>
              <w:t xml:space="preserve">Identifiers</w:t>
            </w:r>
          </w:p>
        </w:tc>
        <w:tc>
          <w:tcPr>
            <w:tcW w:type="dxa" w:w="2480"/>
            <w:tcBorders>
              <w:top w:val="single" w:color="CCCCCC" w:sz="1"/>
              <w:left w:val="single" w:color="CCCCCC" w:sz="1"/>
              <w:bottom w:val="single" w:color="CCCCCC" w:sz="1"/>
              <w:right w:val="single" w:color="CCCCCC" w:sz="1"/>
            </w:tcBorders>
            <w:shd w:fill="1D3A6B" w:val="clear"/>
            <w:tcMar>
              <w:top w:type="dxa" w:w="60"/>
              <w:left w:type="dxa" w:w="100"/>
              <w:bottom w:type="dxa" w:w="60"/>
              <w:right w:type="dxa" w:w="100"/>
            </w:tcMar>
          </w:tcPr>
          <w:p>
            <w:r>
              <w:rPr>
                <w:rFonts w:ascii="Calibri" w:cs="Calibri" w:eastAsia="Calibri" w:hAnsi="Calibri"/>
                <w:b/>
                <w:bCs/>
                <w:color w:val="FFFFFF"/>
                <w:sz w:val="19"/>
                <w:szCs w:val="19"/>
              </w:rPr>
              <w:t xml:space="preserve">Variant</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Seating - Round Table - 60in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Seating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Round Table</w:t>
            </w:r>
          </w:p>
        </w:tc>
        <w:tc>
          <w:tcPr>
            <w:tcW w:type="dxa" w:w="2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60in</w:t>
            </w:r>
          </w:p>
        </w:tc>
      </w:tr>
      <w:tr>
        <w:tc>
          <w:tcPr>
            <w:tcW w:type="dxa" w:w="42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Seating - Chair - Chiavari</w:t>
            </w:r>
          </w:p>
        </w:tc>
        <w:tc>
          <w:tcPr>
            <w:tcW w:type="dxa" w:w="14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Seating</w:t>
            </w:r>
          </w:p>
        </w:tc>
        <w:tc>
          <w:tcPr>
            <w:tcW w:type="dxa" w:w="20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Chair</w:t>
            </w:r>
          </w:p>
        </w:tc>
        <w:tc>
          <w:tcPr>
            <w:tcW w:type="dxa" w:w="248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Chiavari</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Dance Floor - Panel - 3x3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Dance Floor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Panel</w:t>
            </w:r>
          </w:p>
        </w:tc>
        <w:tc>
          <w:tcPr>
            <w:tcW w:type="dxa" w:w="2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3x3</w:t>
            </w:r>
          </w:p>
        </w:tc>
      </w:tr>
      <w:tr>
        <w:tc>
          <w:tcPr>
            <w:tcW w:type="dxa" w:w="42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Bar - Straight - 6ft</w:t>
            </w:r>
          </w:p>
        </w:tc>
        <w:tc>
          <w:tcPr>
            <w:tcW w:type="dxa" w:w="14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Bar</w:t>
            </w:r>
          </w:p>
        </w:tc>
        <w:tc>
          <w:tcPr>
            <w:tcW w:type="dxa" w:w="20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Straight</w:t>
            </w:r>
          </w:p>
        </w:tc>
        <w:tc>
          <w:tcPr>
            <w:tcW w:type="dxa" w:w="248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6ft</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Staging - Platform - 4x8</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Staging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Platform</w:t>
            </w:r>
          </w:p>
        </w:tc>
        <w:tc>
          <w:tcPr>
            <w:tcW w:type="dxa" w:w="2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4x8</w:t>
            </w:r>
          </w:p>
        </w:tc>
      </w:tr>
      <w:tr>
        <w:tc>
          <w:tcPr>
            <w:tcW w:type="dxa" w:w="42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Lounge - Sofa - 3 Seat</w:t>
            </w:r>
          </w:p>
        </w:tc>
        <w:tc>
          <w:tcPr>
            <w:tcW w:type="dxa" w:w="14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Lounge</w:t>
            </w:r>
          </w:p>
        </w:tc>
        <w:tc>
          <w:tcPr>
            <w:tcW w:type="dxa" w:w="20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Sofa</w:t>
            </w:r>
          </w:p>
        </w:tc>
        <w:tc>
          <w:tcPr>
            <w:tcW w:type="dxa" w:w="248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3 Seat</w:t>
            </w:r>
          </w:p>
        </w:tc>
      </w:tr>
    </w:tbl>
    <w:p>
      <w:pPr>
        <w:spacing w:after="80"/>
      </w:pPr>
    </w:p>
    <w:p>
      <w:pPr>
        <w:spacing w:after="120" w:before="240"/>
      </w:pPr>
      <w:r>
        <w:rPr>
          <w:rFonts w:ascii="Calibri" w:cs="Calibri" w:eastAsia="Calibri" w:hAnsi="Calibri"/>
          <w:b/>
          <w:bCs/>
          <w:color w:val="7996AA"/>
          <w:sz w:val="28"/>
          <w:szCs w:val="28"/>
        </w:rPr>
        <w:t xml:space="preserve">4.4 Structure Tent Product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880"/>
      </w:tblGrid>
      <w:tr>
        <w:tc>
          <w:tcPr>
            <w:tcW w:type="dxa" w:w="2600"/>
            <w:tcBorders>
              <w:top w:val="single" w:color="CCCCCC" w:sz="1"/>
              <w:left w:val="single" w:color="CCCCCC" w:sz="1"/>
              <w:bottom w:val="single" w:color="CCCCCC" w:sz="1"/>
              <w:right w:val="single" w:color="CCCCCC" w:sz="1"/>
            </w:tcBorders>
            <w:shd w:fill="1D3A6B" w:val="clear"/>
            <w:tcMar>
              <w:top w:type="dxa" w:w="60"/>
              <w:left w:type="dxa" w:w="100"/>
              <w:bottom w:type="dxa" w:w="60"/>
              <w:right w:type="dxa" w:w="100"/>
            </w:tcMar>
          </w:tcPr>
          <w:p>
            <w:r>
              <w:rPr>
                <w:rFonts w:ascii="Calibri" w:cs="Calibri" w:eastAsia="Calibri" w:hAnsi="Calibri"/>
                <w:b/>
                <w:bCs/>
                <w:color w:val="FFFFFF"/>
                <w:sz w:val="19"/>
                <w:szCs w:val="19"/>
              </w:rPr>
              <w:t xml:space="preserve">Width Range</w:t>
            </w:r>
          </w:p>
        </w:tc>
        <w:tc>
          <w:tcPr>
            <w:tcW w:type="dxa" w:w="2600"/>
            <w:tcBorders>
              <w:top w:val="single" w:color="CCCCCC" w:sz="1"/>
              <w:left w:val="single" w:color="CCCCCC" w:sz="1"/>
              <w:bottom w:val="single" w:color="CCCCCC" w:sz="1"/>
              <w:right w:val="single" w:color="CCCCCC" w:sz="1"/>
            </w:tcBorders>
            <w:shd w:fill="1D3A6B" w:val="clear"/>
            <w:tcMar>
              <w:top w:type="dxa" w:w="60"/>
              <w:left w:type="dxa" w:w="100"/>
              <w:bottom w:type="dxa" w:w="60"/>
              <w:right w:type="dxa" w:w="100"/>
            </w:tcMar>
          </w:tcPr>
          <w:p>
            <w:r>
              <w:rPr>
                <w:rFonts w:ascii="Calibri" w:cs="Calibri" w:eastAsia="Calibri" w:hAnsi="Calibri"/>
                <w:b/>
                <w:bCs/>
                <w:color w:val="FFFFFF"/>
                <w:sz w:val="19"/>
                <w:szCs w:val="19"/>
              </w:rPr>
              <w:t xml:space="preserve">Bay Spacing</w:t>
            </w:r>
          </w:p>
        </w:tc>
        <w:tc>
          <w:tcPr>
            <w:tcW w:type="dxa" w:w="4880"/>
            <w:tcBorders>
              <w:top w:val="single" w:color="CCCCCC" w:sz="1"/>
              <w:left w:val="single" w:color="CCCCCC" w:sz="1"/>
              <w:bottom w:val="single" w:color="CCCCCC" w:sz="1"/>
              <w:right w:val="single" w:color="CCCCCC" w:sz="1"/>
            </w:tcBorders>
            <w:shd w:fill="1D3A6B" w:val="clear"/>
            <w:tcMar>
              <w:top w:type="dxa" w:w="60"/>
              <w:left w:type="dxa" w:w="100"/>
              <w:bottom w:type="dxa" w:w="60"/>
              <w:right w:type="dxa" w:w="100"/>
            </w:tcMar>
          </w:tcPr>
          <w:p>
            <w:r>
              <w:rPr>
                <w:rFonts w:ascii="Calibri" w:cs="Calibri" w:eastAsia="Calibri" w:hAnsi="Calibri"/>
                <w:b/>
                <w:bCs/>
                <w:color w:val="FFFFFF"/>
                <w:sz w:val="19"/>
                <w:szCs w:val="19"/>
              </w:rPr>
              <w:t xml:space="preserve">Valid Widths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Small (formerly G Series)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3000mm only</w:t>
            </w:r>
          </w:p>
        </w:tc>
        <w:tc>
          <w:tcPr>
            <w:tcW w:type="dxa" w:w="4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3m, 6m, 9m, 12m, 15m</w:t>
            </w:r>
          </w:p>
        </w:tc>
      </w:tr>
      <w:tr>
        <w:tc>
          <w:tcPr>
            <w:tcW w:type="dxa" w:w="26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Medium (formerly M Series)</w:t>
            </w:r>
          </w:p>
        </w:tc>
        <w:tc>
          <w:tcPr>
            <w:tcW w:type="dxa" w:w="26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5000mm only</w:t>
            </w:r>
          </w:p>
        </w:tc>
        <w:tc>
          <w:tcPr>
            <w:tcW w:type="dxa" w:w="488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15m, 20m, 25m</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Large (formerly L Series)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5000mm only</w:t>
            </w:r>
          </w:p>
        </w:tc>
        <w:tc>
          <w:tcPr>
            <w:tcW w:type="dxa" w:w="4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30m, 35m</w:t>
            </w:r>
          </w:p>
        </w:tc>
      </w:tr>
    </w:tbl>
    <w:p>
      <w:pPr>
        <w:spacing w:after="80"/>
      </w:pPr>
    </w:p>
    <w:p>
      <w:pPr>
        <w:pStyle w:val="ListParagraph"/>
        <w:numPr>
          <w:ilvl w:val="0"/>
          <w:numId w:val="2"/>
        </w:numPr>
        <w:spacing w:after="60" w:line="276"/>
      </w:pPr>
      <w:r>
        <w:rPr>
          <w:rFonts w:ascii="Calibri" w:cs="Calibri" w:eastAsia="Calibri" w:hAnsi="Calibri"/>
          <w:color w:val="000000"/>
          <w:sz w:val="21"/>
          <w:szCs w:val="21"/>
        </w:rPr>
        <w:t xml:space="preserve">15m exists in both 3000mm and 5000mm; these are different physical products</w:t>
      </w:r>
    </w:p>
    <w:p>
      <w:pPr>
        <w:pStyle w:val="ListParagraph"/>
        <w:numPr>
          <w:ilvl w:val="0"/>
          <w:numId w:val="2"/>
        </w:numPr>
        <w:spacing w:after="60" w:line="276"/>
      </w:pPr>
      <w:r>
        <w:rPr>
          <w:rFonts w:ascii="Calibri" w:cs="Calibri" w:eastAsia="Calibri" w:hAnsi="Calibri"/>
          <w:color w:val="000000"/>
          <w:sz w:val="21"/>
          <w:szCs w:val="21"/>
        </w:rPr>
        <w:t xml:space="preserve">Bay spacing is fixed per width range; no mixing</w:t>
      </w:r>
    </w:p>
    <w:p>
      <w:pPr>
        <w:pStyle w:val="ListParagraph"/>
        <w:numPr>
          <w:ilvl w:val="0"/>
          <w:numId w:val="2"/>
        </w:numPr>
        <w:spacing w:after="60" w:line="276"/>
      </w:pPr>
      <w:r>
        <w:rPr>
          <w:rFonts w:ascii="Calibri" w:cs="Calibri" w:eastAsia="Calibri" w:hAnsi="Calibri"/>
          <w:color w:val="000000"/>
          <w:sz w:val="21"/>
          <w:szCs w:val="21"/>
        </w:rPr>
        <w:t xml:space="preserve">Tent length is unlimited: bays multiplied by bay spacing</w:t>
      </w:r>
    </w:p>
    <w:p>
      <w:pPr>
        <w:spacing w:after="80"/>
      </w:pPr>
    </w:p>
    <w:p>
      <w:pPr>
        <w:spacing w:after="120" w:before="240"/>
      </w:pPr>
      <w:r>
        <w:rPr>
          <w:rFonts w:ascii="Calibri" w:cs="Calibri" w:eastAsia="Calibri" w:hAnsi="Calibri"/>
          <w:b/>
          <w:bCs/>
          <w:color w:val="7996AA"/>
          <w:sz w:val="28"/>
          <w:szCs w:val="28"/>
        </w:rPr>
        <w:t xml:space="preserve">4.5 Project File Linkage</w:t>
      </w:r>
    </w:p>
    <w:p>
      <w:pPr>
        <w:spacing w:after="120" w:line="276"/>
      </w:pPr>
      <w:r>
        <w:rPr>
          <w:rFonts w:ascii="Calibri" w:cs="Calibri" w:eastAsia="Calibri" w:hAnsi="Calibri"/>
          <w:b w:val="false"/>
          <w:bCs w:val="false"/>
          <w:i w:val="false"/>
          <w:iCs w:val="false"/>
          <w:color w:val="000000"/>
          <w:sz w:val="21"/>
          <w:szCs w:val="21"/>
        </w:rPr>
        <w:t xml:space="preserve">The .md instruction file and the Vectorworks .vwx project file are both tagged with the project UID from Blue Peak's IT-managed ID system. The UID can appear anywhere in either filename. The system matches files by UID value, not by filename pattern or position. This keeps CAD files synchronized with partner documents across QuickBooks, HubSpot, and other organizational systems that reference the same UID.</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sz="0"/>
              <w:left w:val="none" w:sz="0"/>
              <w:bottom w:val="none" w:sz="0"/>
              <w:right w:val="none" w:sz="0"/>
            </w:tcBorders>
            <w:shd w:fill="1D3A6B" w:val="clear"/>
            <w:tcMar>
              <w:top w:type="dxa" w:w="60"/>
              <w:left w:type="dxa" w:w="160"/>
              <w:bottom w:type="dxa" w:w="60"/>
              <w:right w:type="dxa" w:w="160"/>
            </w:tcMar>
          </w:tcPr>
          <w:p>
            <w:r>
              <w:rPr>
                <w:rFonts w:ascii="Calibri" w:cs="Calibri" w:eastAsia="Calibri" w:hAnsi="Calibri"/>
                <w:b/>
                <w:bCs/>
                <w:color w:val="FFFFFF"/>
                <w:sz w:val="24"/>
                <w:szCs w:val="24"/>
              </w:rPr>
              <w:t xml:space="preserve">5. SYSTEM ARCHITECTURE OVERVIEW</w:t>
            </w:r>
          </w:p>
        </w:tc>
      </w:tr>
    </w:tbl>
    <w:p>
      <w:pPr>
        <w:spacing w:after="80"/>
      </w:pPr>
    </w:p>
    <w:p>
      <w:pPr>
        <w:spacing w:after="120" w:before="240"/>
      </w:pPr>
      <w:r>
        <w:rPr>
          <w:rFonts w:ascii="Calibri" w:cs="Calibri" w:eastAsia="Calibri" w:hAnsi="Calibri"/>
          <w:b/>
          <w:bCs/>
          <w:color w:val="7996AA"/>
          <w:sz w:val="28"/>
          <w:szCs w:val="28"/>
        </w:rPr>
        <w:t xml:space="preserve">5.1 Technology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880"/>
      </w:tblGrid>
      <w:tr>
        <w:tc>
          <w:tcPr>
            <w:tcW w:type="dxa" w:w="2400"/>
            <w:tcBorders>
              <w:top w:val="single" w:color="CCCCCC" w:sz="1"/>
              <w:left w:val="single" w:color="CCCCCC" w:sz="1"/>
              <w:bottom w:val="single" w:color="CCCCCC" w:sz="1"/>
              <w:right w:val="single" w:color="CCCCCC" w:sz="1"/>
            </w:tcBorders>
            <w:shd w:fill="1D3A6B" w:val="clear"/>
            <w:tcMar>
              <w:top w:type="dxa" w:w="60"/>
              <w:left w:type="dxa" w:w="100"/>
              <w:bottom w:type="dxa" w:w="60"/>
              <w:right w:type="dxa" w:w="100"/>
            </w:tcMar>
          </w:tcPr>
          <w:p>
            <w:r>
              <w:rPr>
                <w:rFonts w:ascii="Calibri" w:cs="Calibri" w:eastAsia="Calibri" w:hAnsi="Calibri"/>
                <w:b/>
                <w:bCs/>
                <w:color w:val="FFFFFF"/>
                <w:sz w:val="19"/>
                <w:szCs w:val="19"/>
              </w:rPr>
              <w:t xml:space="preserve">Component</w:t>
            </w:r>
          </w:p>
        </w:tc>
        <w:tc>
          <w:tcPr>
            <w:tcW w:type="dxa" w:w="2800"/>
            <w:tcBorders>
              <w:top w:val="single" w:color="CCCCCC" w:sz="1"/>
              <w:left w:val="single" w:color="CCCCCC" w:sz="1"/>
              <w:bottom w:val="single" w:color="CCCCCC" w:sz="1"/>
              <w:right w:val="single" w:color="CCCCCC" w:sz="1"/>
            </w:tcBorders>
            <w:shd w:fill="1D3A6B" w:val="clear"/>
            <w:tcMar>
              <w:top w:type="dxa" w:w="60"/>
              <w:left w:type="dxa" w:w="100"/>
              <w:bottom w:type="dxa" w:w="60"/>
              <w:right w:type="dxa" w:w="100"/>
            </w:tcMar>
          </w:tcPr>
          <w:p>
            <w:r>
              <w:rPr>
                <w:rFonts w:ascii="Calibri" w:cs="Calibri" w:eastAsia="Calibri" w:hAnsi="Calibri"/>
                <w:b/>
                <w:bCs/>
                <w:color w:val="FFFFFF"/>
                <w:sz w:val="19"/>
                <w:szCs w:val="19"/>
              </w:rPr>
              <w:t xml:space="preserve">Technology</w:t>
            </w:r>
          </w:p>
        </w:tc>
        <w:tc>
          <w:tcPr>
            <w:tcW w:type="dxa" w:w="4880"/>
            <w:tcBorders>
              <w:top w:val="single" w:color="CCCCCC" w:sz="1"/>
              <w:left w:val="single" w:color="CCCCCC" w:sz="1"/>
              <w:bottom w:val="single" w:color="CCCCCC" w:sz="1"/>
              <w:right w:val="single" w:color="CCCCCC" w:sz="1"/>
            </w:tcBorders>
            <w:shd w:fill="1D3A6B" w:val="clear"/>
            <w:tcMar>
              <w:top w:type="dxa" w:w="60"/>
              <w:left w:type="dxa" w:w="100"/>
              <w:bottom w:type="dxa" w:w="60"/>
              <w:right w:type="dxa" w:w="100"/>
            </w:tcMar>
          </w:tcPr>
          <w:p>
            <w:r>
              <w:rPr>
                <w:rFonts w:ascii="Calibri" w:cs="Calibri" w:eastAsia="Calibri" w:hAnsi="Calibri"/>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CAD Application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Vectorworks 2026</w:t>
            </w:r>
          </w:p>
        </w:tc>
        <w:tc>
          <w:tcPr>
            <w:tcW w:type="dxa" w:w="4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Embedded Python (3.11+); plugins via Tools &gt; Plug-in Manager</w:t>
            </w:r>
          </w:p>
        </w:tc>
      </w:tr>
      <w:tr>
        <w:tc>
          <w:tcPr>
            <w:tcW w:type="dxa" w:w="24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Plugin Language</w:t>
            </w:r>
          </w:p>
        </w:tc>
        <w:tc>
          <w:tcPr>
            <w:tcW w:type="dxa" w:w="28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Python (inside VW)</w:t>
            </w:r>
          </w:p>
        </w:tc>
        <w:tc>
          <w:tcPr>
            <w:tcW w:type="dxa" w:w="488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Standard library only; urllib.request and json confirmed for HTTPS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Sales Intake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Claude.ai Project</w:t>
            </w:r>
          </w:p>
        </w:tc>
        <w:tc>
          <w:tcPr>
            <w:tcW w:type="dxa" w:w="4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Shared Project in Blue Peak org account</w:t>
            </w:r>
          </w:p>
        </w:tc>
      </w:tr>
      <w:tr>
        <w:tc>
          <w:tcPr>
            <w:tcW w:type="dxa" w:w="24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API Communication</w:t>
            </w:r>
          </w:p>
        </w:tc>
        <w:tc>
          <w:tcPr>
            <w:tcW w:type="dxa" w:w="28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Anthropic Messages API</w:t>
            </w:r>
          </w:p>
        </w:tc>
        <w:tc>
          <w:tcPr>
            <w:tcW w:type="dxa" w:w="488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POST api.anthropic.com/v1/messages; x-api-key header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Business Data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Microsoft Dataverse</w:t>
            </w:r>
          </w:p>
        </w:tc>
        <w:tc>
          <w:tcPr>
            <w:tcW w:type="dxa" w:w="4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Product catalog, inventory, capacity, layout standards, furniture</w:t>
            </w:r>
          </w:p>
        </w:tc>
      </w:tr>
      <w:tr>
        <w:tc>
          <w:tcPr>
            <w:tcW w:type="dxa" w:w="24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File Exchange</w:t>
            </w:r>
          </w:p>
        </w:tc>
        <w:tc>
          <w:tcPr>
            <w:tcW w:type="dxa" w:w="28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Shared folder (.md files)</w:t>
            </w:r>
          </w:p>
        </w:tc>
        <w:tc>
          <w:tcPr>
            <w:tcW w:type="dxa" w:w="488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Instruction files from sales Claude Project to VW plugin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Symbol Libraries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Vectorworks .vwx files</w:t>
            </w:r>
          </w:p>
        </w:tc>
        <w:tc>
          <w:tcPr>
            <w:tcW w:type="dxa" w:w="4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OneDrive - Blue Peak (Shared) &gt; Library &gt; Symbols</w:t>
            </w:r>
          </w:p>
        </w:tc>
      </w:tr>
      <w:tr>
        <w:tc>
          <w:tcPr>
            <w:tcW w:type="dxa" w:w="24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Project ID</w:t>
            </w:r>
          </w:p>
        </w:tc>
        <w:tc>
          <w:tcPr>
            <w:tcW w:type="dxa" w:w="28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IT-managed UID system</w:t>
            </w:r>
          </w:p>
        </w:tc>
        <w:tc>
          <w:tcPr>
            <w:tcW w:type="dxa" w:w="488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Single identifier across all organizational systems</w:t>
            </w:r>
          </w:p>
        </w:tc>
      </w:tr>
    </w:tbl>
    <w:p>
      <w:pPr>
        <w:spacing w:after="80"/>
      </w:pPr>
    </w:p>
    <w:p>
      <w:pPr>
        <w:spacing w:after="120" w:before="240"/>
      </w:pPr>
      <w:r>
        <w:rPr>
          <w:rFonts w:ascii="Calibri" w:cs="Calibri" w:eastAsia="Calibri" w:hAnsi="Calibri"/>
          <w:b/>
          <w:bCs/>
          <w:color w:val="7996AA"/>
          <w:sz w:val="28"/>
          <w:szCs w:val="28"/>
        </w:rPr>
        <w:t xml:space="preserve">5.2 Data Flow</w:t>
      </w:r>
    </w:p>
    <w:p>
      <w:pPr>
        <w:pStyle w:val="ListParagraph"/>
        <w:numPr>
          <w:ilvl w:val="0"/>
          <w:numId w:val="3"/>
        </w:numPr>
        <w:spacing w:after="60" w:line="276"/>
      </w:pPr>
      <w:r>
        <w:rPr>
          <w:rFonts w:ascii="Calibri" w:cs="Calibri" w:eastAsia="Calibri" w:hAnsi="Calibri"/>
          <w:color w:val="000000"/>
          <w:sz w:val="21"/>
          <w:szCs w:val="21"/>
        </w:rPr>
        <w:t xml:space="preserve">Sales rep receives project UID from the IT-managed ID system</w:t>
      </w:r>
    </w:p>
    <w:p>
      <w:pPr>
        <w:pStyle w:val="ListParagraph"/>
        <w:numPr>
          <w:ilvl w:val="0"/>
          <w:numId w:val="3"/>
        </w:numPr>
        <w:spacing w:after="60" w:line="276"/>
      </w:pPr>
      <w:r>
        <w:rPr>
          <w:rFonts w:ascii="Calibri" w:cs="Calibri" w:eastAsia="Calibri" w:hAnsi="Calibri"/>
          <w:color w:val="000000"/>
          <w:sz w:val="21"/>
          <w:szCs w:val="21"/>
        </w:rPr>
        <w:t xml:space="preserve">Sales rep opens Claude Project, provides UID and describes event in business language</w:t>
      </w:r>
    </w:p>
    <w:p>
      <w:pPr>
        <w:pStyle w:val="ListParagraph"/>
        <w:numPr>
          <w:ilvl w:val="0"/>
          <w:numId w:val="3"/>
        </w:numPr>
        <w:spacing w:after="60" w:line="276"/>
      </w:pPr>
      <w:r>
        <w:rPr>
          <w:rFonts w:ascii="Calibri" w:cs="Calibri" w:eastAsia="Calibri" w:hAnsi="Calibri"/>
          <w:color w:val="000000"/>
          <w:sz w:val="21"/>
          <w:szCs w:val="21"/>
        </w:rPr>
        <w:t xml:space="preserve">Claude uses business knowledge (Dataverse) to understand the request</w:t>
      </w:r>
    </w:p>
    <w:p>
      <w:pPr>
        <w:pStyle w:val="ListParagraph"/>
        <w:numPr>
          <w:ilvl w:val="0"/>
          <w:numId w:val="3"/>
        </w:numPr>
        <w:spacing w:after="60" w:line="276"/>
      </w:pPr>
      <w:r>
        <w:rPr>
          <w:rFonts w:ascii="Calibri" w:cs="Calibri" w:eastAsia="Calibri" w:hAnsi="Calibri"/>
          <w:color w:val="000000"/>
          <w:sz w:val="21"/>
          <w:szCs w:val="21"/>
        </w:rPr>
        <w:t xml:space="preserve">Claude uses modeling knowledge (CAD docs) to translate into model-space components</w:t>
      </w:r>
    </w:p>
    <w:p>
      <w:pPr>
        <w:pStyle w:val="ListParagraph"/>
        <w:numPr>
          <w:ilvl w:val="0"/>
          <w:numId w:val="3"/>
        </w:numPr>
        <w:spacing w:after="60" w:line="276"/>
      </w:pPr>
      <w:r>
        <w:rPr>
          <w:rFonts w:ascii="Calibri" w:cs="Calibri" w:eastAsia="Calibri" w:hAnsi="Calibri"/>
          <w:color w:val="000000"/>
          <w:sz w:val="21"/>
          <w:szCs w:val="21"/>
        </w:rPr>
        <w:t xml:space="preserve">Claude produces .md instruction file tagged with UID</w:t>
      </w:r>
    </w:p>
    <w:p>
      <w:pPr>
        <w:pStyle w:val="ListParagraph"/>
        <w:numPr>
          <w:ilvl w:val="0"/>
          <w:numId w:val="3"/>
        </w:numPr>
        <w:spacing w:after="60" w:line="276"/>
      </w:pPr>
      <w:r>
        <w:rPr>
          <w:rFonts w:ascii="Calibri" w:cs="Calibri" w:eastAsia="Calibri" w:hAnsi="Calibri"/>
          <w:color w:val="000000"/>
          <w:sz w:val="21"/>
          <w:szCs w:val="21"/>
        </w:rPr>
        <w:t xml:space="preserve">Instruction file saved to shared folder</w:t>
      </w:r>
    </w:p>
    <w:p>
      <w:pPr>
        <w:pStyle w:val="ListParagraph"/>
        <w:numPr>
          <w:ilvl w:val="0"/>
          <w:numId w:val="3"/>
        </w:numPr>
        <w:spacing w:after="60" w:line="276"/>
      </w:pPr>
      <w:r>
        <w:rPr>
          <w:rFonts w:ascii="Calibri" w:cs="Calibri" w:eastAsia="Calibri" w:hAnsi="Calibri"/>
          <w:color w:val="000000"/>
          <w:sz w:val="21"/>
          <w:szCs w:val="21"/>
        </w:rPr>
        <w:t xml:space="preserve">CAD operator creates VW project file tagged with same UID</w:t>
      </w:r>
    </w:p>
    <w:p>
      <w:pPr>
        <w:pStyle w:val="ListParagraph"/>
        <w:numPr>
          <w:ilvl w:val="0"/>
          <w:numId w:val="3"/>
        </w:numPr>
        <w:spacing w:after="60" w:line="276"/>
      </w:pPr>
      <w:r>
        <w:rPr>
          <w:rFonts w:ascii="Calibri" w:cs="Calibri" w:eastAsia="Calibri" w:hAnsi="Calibri"/>
          <w:color w:val="000000"/>
          <w:sz w:val="21"/>
          <w:szCs w:val="21"/>
        </w:rPr>
        <w:t xml:space="preserve">Operator runs VW plugin, selects instruction file (matched by UID)</w:t>
      </w:r>
    </w:p>
    <w:p>
      <w:pPr>
        <w:pStyle w:val="ListParagraph"/>
        <w:numPr>
          <w:ilvl w:val="0"/>
          <w:numId w:val="3"/>
        </w:numPr>
        <w:spacing w:after="60" w:line="276"/>
      </w:pPr>
      <w:r>
        <w:rPr>
          <w:rFonts w:ascii="Calibri" w:cs="Calibri" w:eastAsia="Calibri" w:hAnsi="Calibri"/>
          <w:color w:val="000000"/>
          <w:sz w:val="21"/>
          <w:szCs w:val="21"/>
        </w:rPr>
        <w:t xml:space="preserve">Plugin parses file, routes each tent to the appropriate placement command</w:t>
      </w:r>
    </w:p>
    <w:p>
      <w:pPr>
        <w:pStyle w:val="ListParagraph"/>
        <w:numPr>
          <w:ilvl w:val="0"/>
          <w:numId w:val="3"/>
        </w:numPr>
        <w:spacing w:after="60" w:line="276"/>
      </w:pPr>
      <w:r>
        <w:rPr>
          <w:rFonts w:ascii="Calibri" w:cs="Calibri" w:eastAsia="Calibri" w:hAnsi="Calibri"/>
          <w:color w:val="000000"/>
          <w:sz w:val="21"/>
          <w:szCs w:val="21"/>
        </w:rPr>
        <w:t xml:space="preserve">Operator reviews and click-places each tent</w:t>
      </w:r>
    </w:p>
    <w:p>
      <w:pPr>
        <w:pStyle w:val="ListParagraph"/>
        <w:numPr>
          <w:ilvl w:val="0"/>
          <w:numId w:val="3"/>
        </w:numPr>
        <w:spacing w:after="60" w:line="276"/>
      </w:pPr>
      <w:r>
        <w:rPr>
          <w:rFonts w:ascii="Calibri" w:cs="Calibri" w:eastAsia="Calibri" w:hAnsi="Calibri"/>
          <w:color w:val="000000"/>
          <w:sz w:val="21"/>
          <w:szCs w:val="21"/>
        </w:rPr>
        <w:t xml:space="preserve">For furniture: plugin calls Claude API with tent bounds + event details, receives layout</w:t>
      </w:r>
    </w:p>
    <w:p>
      <w:pPr>
        <w:pStyle w:val="ListParagraph"/>
        <w:numPr>
          <w:ilvl w:val="0"/>
          <w:numId w:val="3"/>
        </w:numPr>
        <w:spacing w:after="60" w:line="276"/>
      </w:pPr>
      <w:r>
        <w:rPr>
          <w:rFonts w:ascii="Calibri" w:cs="Calibri" w:eastAsia="Calibri" w:hAnsi="Calibri"/>
          <w:color w:val="000000"/>
          <w:sz w:val="21"/>
          <w:szCs w:val="21"/>
        </w:rPr>
        <w:t xml:space="preserve">Plugin places furniture symbols inside tent bounds</w:t>
      </w:r>
    </w:p>
    <w:p>
      <w:pPr>
        <w:spacing w:after="80"/>
      </w:pPr>
    </w:p>
    <w:p>
      <w:pPr>
        <w:spacing w:after="120" w:before="240"/>
      </w:pPr>
      <w:r>
        <w:rPr>
          <w:rFonts w:ascii="Calibri" w:cs="Calibri" w:eastAsia="Calibri" w:hAnsi="Calibri"/>
          <w:b/>
          <w:bCs/>
          <w:color w:val="7996AA"/>
          <w:sz w:val="28"/>
          <w:szCs w:val="28"/>
        </w:rPr>
        <w:t xml:space="preserve">5.3 What IT Does NOT Need to Build or Manage</w:t>
      </w:r>
    </w:p>
    <w:p>
      <w:pPr>
        <w:pStyle w:val="ListParagraph"/>
        <w:numPr>
          <w:ilvl w:val="0"/>
          <w:numId w:val="2"/>
        </w:numPr>
        <w:spacing w:after="60" w:line="276"/>
      </w:pPr>
      <w:r>
        <w:rPr>
          <w:rFonts w:ascii="Calibri" w:cs="Calibri" w:eastAsia="Calibri" w:hAnsi="Calibri"/>
          <w:color w:val="000000"/>
          <w:sz w:val="21"/>
          <w:szCs w:val="21"/>
        </w:rPr>
        <w:t xml:space="preserve">Vectorworks plugins, scripts, or symbol libraries</w:t>
      </w:r>
    </w:p>
    <w:p>
      <w:pPr>
        <w:pStyle w:val="ListParagraph"/>
        <w:numPr>
          <w:ilvl w:val="0"/>
          <w:numId w:val="2"/>
        </w:numPr>
        <w:spacing w:after="60" w:line="276"/>
      </w:pPr>
      <w:r>
        <w:rPr>
          <w:rFonts w:ascii="Calibri" w:cs="Calibri" w:eastAsia="Calibri" w:hAnsi="Calibri"/>
          <w:color w:val="000000"/>
          <w:sz w:val="21"/>
          <w:szCs w:val="21"/>
        </w:rPr>
        <w:t xml:space="preserve">The sales-facing Claude Project system prompt</w:t>
      </w:r>
    </w:p>
    <w:p>
      <w:pPr>
        <w:pStyle w:val="ListParagraph"/>
        <w:numPr>
          <w:ilvl w:val="0"/>
          <w:numId w:val="2"/>
        </w:numPr>
        <w:spacing w:after="60" w:line="276"/>
      </w:pPr>
      <w:r>
        <w:rPr>
          <w:rFonts w:ascii="Calibri" w:cs="Calibri" w:eastAsia="Calibri" w:hAnsi="Calibri"/>
          <w:color w:val="000000"/>
          <w:sz w:val="21"/>
          <w:szCs w:val="21"/>
        </w:rPr>
        <w:t xml:space="preserve">The .md instruction file format or parser logic</w:t>
      </w:r>
    </w:p>
    <w:p>
      <w:pPr>
        <w:pStyle w:val="ListParagraph"/>
        <w:numPr>
          <w:ilvl w:val="0"/>
          <w:numId w:val="2"/>
        </w:numPr>
        <w:spacing w:after="60" w:line="276"/>
      </w:pPr>
      <w:r>
        <w:rPr>
          <w:rFonts w:ascii="Calibri" w:cs="Calibri" w:eastAsia="Calibri" w:hAnsi="Calibri"/>
          <w:color w:val="000000"/>
          <w:sz w:val="21"/>
          <w:szCs w:val="21"/>
        </w:rPr>
        <w:t xml:space="preserve">Modeling knowledge documents (the translation layer)</w:t>
      </w:r>
    </w:p>
    <w:p>
      <w:pPr>
        <w:pStyle w:val="ListParagraph"/>
        <w:numPr>
          <w:ilvl w:val="0"/>
          <w:numId w:val="2"/>
        </w:numPr>
        <w:spacing w:after="60" w:line="276"/>
      </w:pPr>
      <w:r>
        <w:rPr>
          <w:rFonts w:ascii="Calibri" w:cs="Calibri" w:eastAsia="Calibri" w:hAnsi="Calibri"/>
          <w:color w:val="000000"/>
          <w:sz w:val="21"/>
          <w:szCs w:val="21"/>
        </w:rPr>
        <w:t xml:space="preserve">Furniture symbol naming or placement logic</w:t>
      </w:r>
    </w:p>
    <w:p>
      <w:pPr>
        <w:pStyle w:val="ListParagraph"/>
        <w:numPr>
          <w:ilvl w:val="0"/>
          <w:numId w:val="2"/>
        </w:numPr>
        <w:spacing w:after="60" w:line="276"/>
      </w:pPr>
      <w:r>
        <w:rPr>
          <w:rFonts w:ascii="Calibri" w:cs="Calibri" w:eastAsia="Calibri" w:hAnsi="Calibri"/>
          <w:color w:val="000000"/>
          <w:sz w:val="21"/>
          <w:szCs w:val="21"/>
        </w:rPr>
        <w:t xml:space="preserve">Any Vectorworks configuration or workspace customization</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sz="0"/>
              <w:left w:val="none" w:sz="0"/>
              <w:bottom w:val="none" w:sz="0"/>
              <w:right w:val="none" w:sz="0"/>
            </w:tcBorders>
            <w:shd w:fill="1D3A6B" w:val="clear"/>
            <w:tcMar>
              <w:top w:type="dxa" w:w="60"/>
              <w:left w:type="dxa" w:w="160"/>
              <w:bottom w:type="dxa" w:w="60"/>
              <w:right w:type="dxa" w:w="160"/>
            </w:tcMar>
          </w:tcPr>
          <w:p>
            <w:r>
              <w:rPr>
                <w:rFonts w:ascii="Calibri" w:cs="Calibri" w:eastAsia="Calibri" w:hAnsi="Calibri"/>
                <w:b/>
                <w:bCs/>
                <w:color w:val="FFFFFF"/>
                <w:sz w:val="24"/>
                <w:szCs w:val="24"/>
              </w:rPr>
              <w:t xml:space="preserve">6. SECURITY CONSIDERATIONS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D3A6B" w:val="clear"/>
            <w:tcMar>
              <w:top w:type="dxa" w:w="60"/>
              <w:left w:type="dxa" w:w="100"/>
              <w:bottom w:type="dxa" w:w="60"/>
              <w:right w:type="dxa" w:w="100"/>
            </w:tcMar>
          </w:tcPr>
          <w:p>
            <w:r>
              <w:rPr>
                <w:rFonts w:ascii="Calibri" w:cs="Calibri" w:eastAsia="Calibri" w:hAnsi="Calibri"/>
                <w:b/>
                <w:bCs/>
                <w:color w:val="FFFFFF"/>
                <w:sz w:val="19"/>
                <w:szCs w:val="19"/>
              </w:rPr>
              <w:t xml:space="preserve">Concern</w:t>
            </w:r>
          </w:p>
        </w:tc>
        <w:tc>
          <w:tcPr>
            <w:tcW w:type="dxa" w:w="7080"/>
            <w:tcBorders>
              <w:top w:val="single" w:color="CCCCCC" w:sz="1"/>
              <w:left w:val="single" w:color="CCCCCC" w:sz="1"/>
              <w:bottom w:val="single" w:color="CCCCCC" w:sz="1"/>
              <w:right w:val="single" w:color="CCCCCC" w:sz="1"/>
            </w:tcBorders>
            <w:shd w:fill="1D3A6B" w:val="clear"/>
            <w:tcMar>
              <w:top w:type="dxa" w:w="60"/>
              <w:left w:type="dxa" w:w="100"/>
              <w:bottom w:type="dxa" w:w="60"/>
              <w:right w:type="dxa" w:w="100"/>
            </w:tcMar>
          </w:tcPr>
          <w:p>
            <w:r>
              <w:rPr>
                <w:rFonts w:ascii="Calibri" w:cs="Calibri" w:eastAsia="Calibri" w:hAnsi="Calibri"/>
                <w:b/>
                <w:bCs/>
                <w:color w:val="FFFFFF"/>
                <w:sz w:val="19"/>
                <w:szCs w:val="19"/>
              </w:rPr>
              <w:t xml:space="preserve">Mitigation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API key exposure</w:t>
            </w:r>
          </w:p>
        </w:tc>
        <w:tc>
          <w:tcPr>
            <w:tcW w:type="dxa" w:w="7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Store as environment variable on authorized workstations only; never in scripts or shared files</w:t>
            </w:r>
          </w:p>
        </w:tc>
      </w:tr>
      <w:tr>
        <w:tc>
          <w:tcPr>
            <w:tcW w:type="dxa" w:w="30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Client data in prompts</w:t>
            </w:r>
          </w:p>
        </w:tc>
        <w:tc>
          <w:tcPr>
            <w:tcW w:type="dxa" w:w="708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Sales requests contain client names and event details; ensure compliance with Blue Peak data policy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Dataverse access scope</w:t>
            </w:r>
          </w:p>
        </w:tc>
        <w:tc>
          <w:tcPr>
            <w:tcW w:type="dxa" w:w="7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Read-only on product/inventory/capacity tables; no customer financial data</w:t>
            </w:r>
          </w:p>
        </w:tc>
      </w:tr>
      <w:tr>
        <w:tc>
          <w:tcPr>
            <w:tcW w:type="dxa" w:w="30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Network traffic</w:t>
            </w:r>
          </w:p>
        </w:tc>
        <w:tc>
          <w:tcPr>
            <w:tcW w:type="dxa" w:w="708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All outbound HTTPS to api.anthropic.com; no inbound ports required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Instruction files</w:t>
            </w:r>
          </w:p>
        </w:tc>
        <w:tc>
          <w:tcPr>
            <w:tcW w:type="dxa" w:w="7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Contain tent specs and client event details; shared folder permissions restrict to authorized personnel</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sz="0"/>
              <w:left w:val="none" w:sz="0"/>
              <w:bottom w:val="none" w:sz="0"/>
              <w:right w:val="none" w:sz="0"/>
            </w:tcBorders>
            <w:shd w:fill="1D3A6B" w:val="clear"/>
            <w:tcMar>
              <w:top w:type="dxa" w:w="60"/>
              <w:left w:type="dxa" w:w="160"/>
              <w:bottom w:type="dxa" w:w="60"/>
              <w:right w:type="dxa" w:w="160"/>
            </w:tcMar>
          </w:tcPr>
          <w:p>
            <w:r>
              <w:rPr>
                <w:rFonts w:ascii="Calibri" w:cs="Calibri" w:eastAsia="Calibri" w:hAnsi="Calibri"/>
                <w:b/>
                <w:bCs/>
                <w:color w:val="FFFFFF"/>
                <w:sz w:val="24"/>
                <w:szCs w:val="24"/>
              </w:rPr>
              <w:t xml:space="preserve">7. IT ACTION ITEMS</w:t>
            </w:r>
          </w:p>
        </w:tc>
      </w:tr>
    </w:tbl>
    <w:p>
      <w:pPr>
        <w:spacing w:after="80"/>
      </w:pPr>
    </w:p>
    <w:p>
      <w:pPr>
        <w:spacing w:after="120" w:before="240"/>
      </w:pPr>
      <w:r>
        <w:rPr>
          <w:rFonts w:ascii="Calibri" w:cs="Calibri" w:eastAsia="Calibri" w:hAnsi="Calibri"/>
          <w:b/>
          <w:bCs/>
          <w:color w:val="7996AA"/>
          <w:sz w:val="28"/>
          <w:szCs w:val="28"/>
        </w:rPr>
        <w:t xml:space="preserve">Immediate (Unblocks Development)</w:t>
      </w:r>
    </w:p>
    <w:p>
      <w:pPr>
        <w:pStyle w:val="ListParagraph"/>
        <w:numPr>
          <w:ilvl w:val="0"/>
          <w:numId w:val="4"/>
        </w:numPr>
        <w:spacing w:after="60" w:line="276"/>
      </w:pPr>
      <w:r>
        <w:rPr>
          <w:rFonts w:ascii="Calibri" w:cs="Calibri" w:eastAsia="Calibri" w:hAnsi="Calibri"/>
          <w:color w:val="000000"/>
          <w:sz w:val="21"/>
          <w:szCs w:val="21"/>
        </w:rPr>
        <w:t xml:space="preserve">Provision Claude API key under the Blue Peak organization account</w:t>
      </w:r>
    </w:p>
    <w:p>
      <w:pPr>
        <w:pStyle w:val="ListParagraph"/>
        <w:numPr>
          <w:ilvl w:val="0"/>
          <w:numId w:val="4"/>
        </w:numPr>
        <w:spacing w:after="60" w:line="276"/>
      </w:pPr>
      <w:r>
        <w:rPr>
          <w:rFonts w:ascii="Calibri" w:cs="Calibri" w:eastAsia="Calibri" w:hAnsi="Calibri"/>
          <w:color w:val="000000"/>
          <w:sz w:val="21"/>
          <w:szCs w:val="21"/>
        </w:rPr>
        <w:t xml:space="preserve">Deliver API key securely to the CAD workstation</w:t>
      </w:r>
    </w:p>
    <w:p>
      <w:pPr>
        <w:pStyle w:val="ListParagraph"/>
        <w:numPr>
          <w:ilvl w:val="0"/>
          <w:numId w:val="4"/>
        </w:numPr>
        <w:spacing w:after="60" w:line="276"/>
      </w:pPr>
      <w:r>
        <w:rPr>
          <w:rFonts w:ascii="Calibri" w:cs="Calibri" w:eastAsia="Calibri" w:hAnsi="Calibri"/>
          <w:color w:val="000000"/>
          <w:sz w:val="21"/>
          <w:szCs w:val="21"/>
        </w:rPr>
        <w:t xml:space="preserve">Confirm outbound HTTPS to api.anthropic.com is permitted from the CAD workstation</w:t>
      </w:r>
    </w:p>
    <w:p>
      <w:pPr>
        <w:pStyle w:val="ListParagraph"/>
        <w:numPr>
          <w:ilvl w:val="0"/>
          <w:numId w:val="4"/>
        </w:numPr>
        <w:spacing w:after="60" w:line="276"/>
      </w:pPr>
      <w:r>
        <w:rPr>
          <w:rFonts w:ascii="Calibri" w:cs="Calibri" w:eastAsia="Calibri" w:hAnsi="Calibri"/>
          <w:color w:val="000000"/>
          <w:sz w:val="21"/>
          <w:szCs w:val="21"/>
        </w:rPr>
        <w:t xml:space="preserve">Confirm or create a shared folder location for .md instruction files</w:t>
      </w:r>
    </w:p>
    <w:p>
      <w:pPr>
        <w:spacing w:after="80"/>
      </w:pPr>
    </w:p>
    <w:p>
      <w:pPr>
        <w:spacing w:after="120" w:before="240"/>
      </w:pPr>
      <w:r>
        <w:rPr>
          <w:rFonts w:ascii="Calibri" w:cs="Calibri" w:eastAsia="Calibri" w:hAnsi="Calibri"/>
          <w:b/>
          <w:bCs/>
          <w:color w:val="7996AA"/>
          <w:sz w:val="28"/>
          <w:szCs w:val="28"/>
        </w:rPr>
        <w:t xml:space="preserve">Near-Term (Enables Full Pipeline)</w:t>
      </w:r>
    </w:p>
    <w:p>
      <w:pPr>
        <w:pStyle w:val="ListParagraph"/>
        <w:numPr>
          <w:ilvl w:val="0"/>
          <w:numId w:val="5"/>
        </w:numPr>
        <w:spacing w:after="60" w:line="276"/>
      </w:pPr>
      <w:r>
        <w:rPr>
          <w:rFonts w:ascii="Calibri" w:cs="Calibri" w:eastAsia="Calibri" w:hAnsi="Calibri"/>
          <w:color w:val="000000"/>
          <w:sz w:val="21"/>
          <w:szCs w:val="21"/>
        </w:rPr>
        <w:t xml:space="preserve">Identify which Dataverse tables contain product catalog, inventory, capacity, accessory, furniture, and layout data</w:t>
      </w:r>
    </w:p>
    <w:p>
      <w:pPr>
        <w:pStyle w:val="ListParagraph"/>
        <w:numPr>
          <w:ilvl w:val="0"/>
          <w:numId w:val="5"/>
        </w:numPr>
        <w:spacing w:after="60" w:line="276"/>
      </w:pPr>
      <w:r>
        <w:rPr>
          <w:rFonts w:ascii="Calibri" w:cs="Calibri" w:eastAsia="Calibri" w:hAnsi="Calibri"/>
          <w:color w:val="000000"/>
          <w:sz w:val="21"/>
          <w:szCs w:val="21"/>
        </w:rPr>
        <w:t xml:space="preserve">Determine preferred Dataverse access method: direct API connector for Claude, or scheduled export</w:t>
      </w:r>
    </w:p>
    <w:p>
      <w:pPr>
        <w:pStyle w:val="ListParagraph"/>
        <w:numPr>
          <w:ilvl w:val="0"/>
          <w:numId w:val="5"/>
        </w:numPr>
        <w:spacing w:after="60" w:line="276"/>
      </w:pPr>
      <w:r>
        <w:rPr>
          <w:rFonts w:ascii="Calibri" w:cs="Calibri" w:eastAsia="Calibri" w:hAnsi="Calibri"/>
          <w:color w:val="000000"/>
          <w:sz w:val="21"/>
          <w:szCs w:val="21"/>
        </w:rPr>
        <w:t xml:space="preserve">If direct API: create read-only service principal scoped to product tables</w:t>
      </w:r>
    </w:p>
    <w:p>
      <w:pPr>
        <w:pStyle w:val="ListParagraph"/>
        <w:numPr>
          <w:ilvl w:val="0"/>
          <w:numId w:val="5"/>
        </w:numPr>
        <w:spacing w:after="60" w:line="276"/>
      </w:pPr>
      <w:r>
        <w:rPr>
          <w:rFonts w:ascii="Calibri" w:cs="Calibri" w:eastAsia="Calibri" w:hAnsi="Calibri"/>
          <w:color w:val="000000"/>
          <w:sz w:val="21"/>
          <w:szCs w:val="21"/>
        </w:rPr>
        <w:t xml:space="preserve">If export: establish extraction process and delivery to CAD team</w:t>
      </w:r>
    </w:p>
    <w:p>
      <w:pPr>
        <w:pStyle w:val="ListParagraph"/>
        <w:numPr>
          <w:ilvl w:val="0"/>
          <w:numId w:val="5"/>
        </w:numPr>
        <w:spacing w:after="60" w:line="276"/>
      </w:pPr>
      <w:r>
        <w:rPr>
          <w:rFonts w:ascii="Calibri" w:cs="Calibri" w:eastAsia="Calibri" w:hAnsi="Calibri"/>
          <w:color w:val="000000"/>
          <w:sz w:val="21"/>
          <w:szCs w:val="21"/>
        </w:rPr>
        <w:t xml:space="preserve">Confirm how the project UID can be surfaced to the sales-facing Claude Project (manual entry by sales rep, or automated lookup via Dataverse)</w:t>
      </w:r>
    </w:p>
    <w:p>
      <w:pPr>
        <w:pStyle w:val="ListParagraph"/>
        <w:numPr>
          <w:ilvl w:val="0"/>
          <w:numId w:val="5"/>
        </w:numPr>
        <w:spacing w:after="60" w:line="276"/>
      </w:pPr>
      <w:r>
        <w:rPr>
          <w:rFonts w:ascii="Calibri" w:cs="Calibri" w:eastAsia="Calibri" w:hAnsi="Calibri"/>
          <w:color w:val="000000"/>
          <w:sz w:val="21"/>
          <w:szCs w:val="21"/>
        </w:rPr>
        <w:t xml:space="preserve">Grant sales team members access to the Blue Peak Claude.ai organization account</w:t>
      </w:r>
    </w:p>
    <w:p>
      <w:pPr>
        <w:spacing w:after="80"/>
      </w:pPr>
    </w:p>
    <w:p>
      <w:pPr>
        <w:spacing w:after="120" w:before="240"/>
      </w:pPr>
      <w:r>
        <w:rPr>
          <w:rFonts w:ascii="Calibri" w:cs="Calibri" w:eastAsia="Calibri" w:hAnsi="Calibri"/>
          <w:b/>
          <w:bCs/>
          <w:color w:val="7996AA"/>
          <w:sz w:val="28"/>
          <w:szCs w:val="28"/>
        </w:rPr>
        <w:t xml:space="preserve">Future (Enables Automation)</w:t>
      </w:r>
    </w:p>
    <w:p>
      <w:pPr>
        <w:pStyle w:val="ListParagraph"/>
        <w:numPr>
          <w:ilvl w:val="0"/>
          <w:numId w:val="6"/>
        </w:numPr>
        <w:spacing w:after="60" w:line="276"/>
      </w:pPr>
      <w:r>
        <w:rPr>
          <w:rFonts w:ascii="Calibri" w:cs="Calibri" w:eastAsia="Calibri" w:hAnsi="Calibri"/>
          <w:color w:val="000000"/>
          <w:sz w:val="21"/>
          <w:szCs w:val="21"/>
        </w:rPr>
        <w:t xml:space="preserve">Evaluate Power Automate for notifications when new .md files arrive in shared folder</w:t>
      </w:r>
    </w:p>
    <w:p>
      <w:pPr>
        <w:pStyle w:val="ListParagraph"/>
        <w:numPr>
          <w:ilvl w:val="0"/>
          <w:numId w:val="6"/>
        </w:numPr>
        <w:spacing w:after="60" w:line="276"/>
      </w:pPr>
      <w:r>
        <w:rPr>
          <w:rFonts w:ascii="Calibri" w:cs="Calibri" w:eastAsia="Calibri" w:hAnsi="Calibri"/>
          <w:color w:val="000000"/>
          <w:sz w:val="21"/>
          <w:szCs w:val="21"/>
        </w:rPr>
        <w:t xml:space="preserve">Consider scheduled Dataverse-to-.md extraction if using the export approach</w:t>
      </w:r>
    </w:p>
    <w:p>
      <w:pPr>
        <w:pStyle w:val="ListParagraph"/>
        <w:numPr>
          <w:ilvl w:val="0"/>
          <w:numId w:val="6"/>
        </w:numPr>
        <w:spacing w:after="60" w:line="276"/>
      </w:pPr>
      <w:r>
        <w:rPr>
          <w:rFonts w:ascii="Calibri" w:cs="Calibri" w:eastAsia="Calibri" w:hAnsi="Calibri"/>
          <w:color w:val="000000"/>
          <w:sz w:val="21"/>
          <w:szCs w:val="21"/>
        </w:rPr>
        <w:t xml:space="preserve">Evaluate automated UID injection when new projects are created in the ID system</w:t>
      </w:r>
    </w:p>
    <w:p>
      <w:pPr>
        <w:spacing w:after="80"/>
      </w:pPr>
    </w:p>
    <w:p>
      <w:pPr>
        <w:spacing w:after="80"/>
      </w:pPr>
    </w:p>
    <w:p>
      <w:pPr>
        <w:pBdr>
          <w:bottom w:val="single" w:color="D1BEA4" w:sz="4" w:space="1"/>
        </w:pBdr>
        <w:spacing w:after="80" w:before="80"/>
      </w:pPr>
    </w:p>
    <w:p>
      <w:pPr>
        <w:spacing w:after="80"/>
      </w:pPr>
    </w:p>
    <w:p>
      <w:pPr>
        <w:spacing w:after="120" w:line="276"/>
      </w:pPr>
      <w:r>
        <w:rPr>
          <w:rFonts w:ascii="Calibri" w:cs="Calibri" w:eastAsia="Calibri" w:hAnsi="Calibri"/>
          <w:b w:val="false"/>
          <w:bCs w:val="false"/>
          <w:i/>
          <w:iCs/>
          <w:color w:val="000000"/>
          <w:sz w:val="21"/>
          <w:szCs w:val="21"/>
        </w:rPr>
        <w:t xml:space="preserve">For questions about the Vectorworks side of this architecture, contact Jonathan. All Vectorworks development, Claude Project configuration, and instruction file format design is handled by the CAD team.</w:t>
      </w:r>
    </w:p>
    <w:sectPr>
      <w:headerReference w:type="default" r:id="rId7"/>
      <w:footerReference w:type="default" r:id="rId8"/>
      <w:pgSz w:w="12240" w:h="15840" w:orient="portrait"/>
      <w:pgMar w:top="180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996AA" w:sz="4" w:space="4"/>
      </w:pBdr>
      <w:spacing w:before="40"/>
    </w:pPr>
    <w:r>
      <w:rPr>
        <w:rFonts w:ascii="Calibri" w:cs="Calibri" w:eastAsia="Calibri" w:hAnsi="Calibri"/>
        <w:color w:val="7996AA"/>
        <w:sz w:val="17"/>
        <w:szCs w:val="17"/>
      </w:rPr>
      <w:t xml:space="preserve">Blue Peak Tents, Inc.</w:t>
    </w:r>
    <w:r>
      <w:rPr>
        <w:rFonts w:ascii="Calibri" w:cs="Calibri" w:eastAsia="Calibri" w:hAnsi="Calibri"/>
        <w:color w:val="D1BEA4"/>
        <w:sz w:val="17"/>
        <w:szCs w:val="17"/>
      </w:rPr>
      <w:t xml:space="preserve">		blupeaktents.com		Page </w:t>
    </w:r>
    <w:r>
      <w:rPr>
        <w:rFonts w:ascii="Calibri" w:cs="Calibri" w:eastAsia="Calibri" w:hAnsi="Calibri"/>
        <w:color w:val="7996A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inline distT="0" distB="0" distL="0" distR="0">
          <wp:extent cx="1476375"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76375" cy="314325"/>
                  </a:xfrm>
                  <a:prstGeom prst="rect">
                    <a:avLst/>
                  </a:prstGeom>
                </pic:spPr>
              </pic:pic>
            </a:graphicData>
          </a:graphic>
        </wp:inline>
      </w:drawing>
    </w:r>
  </w:p>
  <w:p>
    <w:pPr>
      <w:pBdr>
        <w:bottom w:val="single" w:color="D1BEA4" w:sz="4" w:space="1"/>
      </w:pBdr>
      <w:spacing w:before="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5823a204b9837581a5487ce7824197539af8242.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248B6C3F6DFB2449ADF32487514E688" ma:contentTypeVersion="0" ma:contentTypeDescription="Create a new document." ma:contentTypeScope="" ma:versionID="6b29b07e57a4f987edbbab8bb572a9f7">
  <xsd:schema xmlns:xsd="http://www.w3.org/2001/XMLSchema" xmlns:xs="http://www.w3.org/2001/XMLSchema" xmlns:p="http://schemas.microsoft.com/office/2006/metadata/properties" targetNamespace="http://schemas.microsoft.com/office/2006/metadata/properties" ma:root="true" ma:fieldsID="f9bce4d9769d259b9f22a0ab32779d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BE84001-FDED-4BE8-9EAD-FBBA6D087EE7}"/>
</file>

<file path=customXml/itemProps2.xml><?xml version="1.0" encoding="utf-8"?>
<ds:datastoreItem xmlns:ds="http://schemas.openxmlformats.org/officeDocument/2006/customXml" ds:itemID="{3C9CD6E3-C070-474E-A1B8-A30FCD315DC9}"/>
</file>

<file path=customXml/itemProps3.xml><?xml version="1.0" encoding="utf-8"?>
<ds:datastoreItem xmlns:ds="http://schemas.openxmlformats.org/officeDocument/2006/customXml" ds:itemID="{02DE7346-C392-44B1-B4CA-3C9ADDD85751}"/>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2026-04-02T15:32:27Z</dcterms:created>
  <dcterms:modified xsi:type="dcterms:W3CDTF">2026-04-02T15:32:27Z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0x0101008248B6C3F6DFB2449ADF32487514E688</vt:lpwstr>
  </property>
</Properties>
</file>