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</w:t>
      </w:r>
    </w:p>
    <w:p>
      <w:pPr>
        <w:spacing w:after="200"/>
        <w:jc w:val="right"/>
      </w:pPr>
      <w:r>
        <w:rPr>
          <w:color w:val="666666"/>
          <w:sz w:val="20"/>
          <w:szCs w:val="20"/>
        </w:rPr>
        <w:t xml:space="preserve">생성일시: 2025. 7. 1. 오후 3:18:41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--- 회의록 (작성자: AI1) ---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회의 개요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회 의 명: 마피아 게임 개선 방안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일    시: 2025. 7. 1. 오후 3:18:17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장    소: 온라인 (채팅)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  참 석 자: AI1, AI2, AI3, 사라라람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회의 안건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마피아 게임 재미 증진 방안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새로운 역할 카드 및 미니게임 도입 방안 논의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주요 논의 내용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1. 마피아 게임 재미 증진 방안 모색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1.1 새로운 역할 카드 도입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기존 마피아 게임의 재미를 증진하고 전략적 깊이를 더하기 위해 새로운 역할 카드 도입을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다양한 의견 제시: 의사, 경찰, 배신자, 연인, 변장술사 등 새로운 역할 카드에 대한 다양한 제안이 있었음.  각 역할 카드의 능력과 게임에 미치는 영향에 대한 논의가 진행됨.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역할 카드 능력 조정 필요성 제기:  각 카드의 능력이 게임 밸런스에 미치는 영향에 대한 우려가 제기됨.  특히,  과도한 능력은 게임의 균형을 깨뜨릴 수 있다는 점이 지적됨.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밸런스 유지 방안 모색: 게임 밸런스 유지를 위해  카드 능력 제한,  상호 견제 가능한 카드 추가(수호자 카드 등) 등의 방안이 제시됨.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 새로운 역할 카드 도입에 대한 기본적인 합의 도출.  하지만 각 카드의 구체적인 능력과 제한 사항은 추가 논의 및 테스트 플레이를 통해 결정하기로 함.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1.2 미니게임 도입을 통한 몰입도 향상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 게임 참여자들의 몰입도를 높이고 게임의 재미를 더하기 위해 미니게임 도입을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다양한 미니게임 제안:  투표 결과 예측 게임, 역할 예측 게임, 마피아 관련 퀴즈 등 다양한 미니게임 아이디어가 제시됨.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미니게임의 게임 흐름 고려: 미니게임이 게임의 전체적인 흐름을 방해하지 않도록 미니게임의 디자인 및  게임 내 위치에 대한 논의가 이루어짐.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미니게임의 공정성 확보: 미니게임의 공정성 및 참여자 간의 균형 유지를 위한 방안 모색.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미니게임 도입에 대한 합의 도출.  하지만 구체적인 미니게임의 종류와  게임 내 적용 방식은  추가 논의 및 테스트를 통해 결정하기로 함.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2. 게임 규칙 변경에 대한 논의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2.1  기본 게임 규칙 변경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 게임 규칙 자체의 변화를 통해 게임의 재미와 전략적 깊이를 증진시키는 방안을 모색.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마피아 능력 변경: 마피아의 처형 능력 강화(동시 처형 인원 증가, 낮 암살 추가) 및 시민에게 제공되는 정보량 조절 등 다양한 방안 논의.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게임 시간 조절: 게임 시간 조절을 통해 게임의 긴장감과 분위기 조절 가능성 논의.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게임 규칙 변경에 대한 다양한 아이디어가 제시되었으나,  게임 밸런스 및  전체적인 게임 흐름에 미치는 영향을 고려하여 신중한 검토가 필요하다는 의견이 제시됨.  새로운 역할 카드 및 미니게임 도입 후  추가 검토하기로 결정.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3. 게임 내 경제 시스템 도입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3.1 정보상 카드 및 경제 시스템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게임 내 경제 시스템 도입을 통한 전략적 요소 추가 가능성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  정보상 카드를 도입하여  시민들이 정보를 구매하는 시스템 구축에 대한 논의.  정보의 정확성 및 정보상의 정체성에 대한 불확실성을 통해 게임의 재미를 증진시키는 방안 제시.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흥미로운 아이디어이나,  과도한 복잡성으로 인해 게임 흐름 저해 가능성 고려.  추후  새로운 역할 카드 및 미니게임과의 연동 가능성을 고려하여  재검토하기로 결정.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결정 사항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새로운 역할 카드(연인, 변장술사 등) 및 미니게임 도입을 통한 마피아 게임 개선 추진.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각 카드의 능력 및 미니게임의 구체적인 방식은 추가 논의 및 테스트 플레이를 통해 결정.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게임 규칙 변경 및 경제 시스템 도입은 새로운 역할 카드 및 미니게임 도입 이후 재검토.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&lt;table&gt;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&lt;th&gt;순번&lt;/th&gt;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&lt;th&gt;실행 내용&lt;/th&gt;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&lt;th&gt;담당자&lt;/th&gt;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&lt;th&gt;완료 기한&lt;/th&gt;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&lt;th&gt;우선순위&lt;/th&gt;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&lt;td&gt;새로운 역할 카드 (연인, 변장술사) 세부 능력 및 규칙 초안 작성&lt;/td&gt;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8.&lt;/td&gt;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&lt;td&gt;역할 예측 미니게임 구체적인 방식 및 게임 내 통합 방안 설계&lt;/td&gt;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8.&lt;/td&gt;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&lt;td&gt;새로운 역할 카드와 미니게임을 포함한 테스트 버전 개발&lt;/td&gt;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&lt;td&gt;AI1, 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15.&lt;/td&gt;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&lt;td&gt;4&lt;/td&gt;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&lt;td&gt;테스트 플레이 진행 및 결과 분석&lt;/td&gt;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&lt;td&gt;사라라람&lt;/td&gt;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22.&lt;/td&gt;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&lt;/table&gt;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AI 회의록 시스템</dc:creator>
  <cp:lastModifiedBy>Un-named</cp:lastModifiedBy>
  <cp:revision>1</cp:revision>
  <dcterms:created xsi:type="dcterms:W3CDTF">2025-07-01T06:18:41.194Z</dcterms:created>
  <dcterms:modified xsi:type="dcterms:W3CDTF">2025-07-01T06:18:41.194Z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