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CFB" w:themeColor="accent5" w:themeTint="33"/>
  <w:body>
    <w:p w14:paraId="305BEB75" w14:textId="4E63C867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>Tarea 1</w:t>
      </w:r>
    </w:p>
    <w:p w14:paraId="650BFFB7" w14:textId="393FD69C" w:rsidR="009959DA" w:rsidRPr="009959DA" w:rsidRDefault="009959DA" w:rsidP="009959DA">
      <w:pPr>
        <w:jc w:val="center"/>
        <w:rPr>
          <w:rFonts w:ascii="Arial" w:hAnsi="Arial" w:cs="Arial"/>
          <w:sz w:val="28"/>
          <w:szCs w:val="28"/>
        </w:rPr>
      </w:pPr>
      <w:r w:rsidRPr="009959DA">
        <w:rPr>
          <w:rFonts w:ascii="Arial" w:hAnsi="Arial" w:cs="Arial"/>
          <w:sz w:val="28"/>
          <w:szCs w:val="28"/>
        </w:rPr>
        <w:t>Distribuciones asociadas al monto de una perdida, Modelación del Riesgo, Valores Extremos y VaR, Familia/Clase (</w:t>
      </w:r>
      <w:proofErr w:type="spellStart"/>
      <w:proofErr w:type="gramStart"/>
      <w:r w:rsidRPr="009959DA">
        <w:rPr>
          <w:rFonts w:ascii="Arial" w:hAnsi="Arial" w:cs="Arial"/>
          <w:sz w:val="28"/>
          <w:szCs w:val="28"/>
        </w:rPr>
        <w:t>a,b</w:t>
      </w:r>
      <w:proofErr w:type="gramEnd"/>
      <w:r w:rsidRPr="009959DA">
        <w:rPr>
          <w:rFonts w:ascii="Arial" w:hAnsi="Arial" w:cs="Arial"/>
          <w:sz w:val="28"/>
          <w:szCs w:val="28"/>
        </w:rPr>
        <w:t>,i</w:t>
      </w:r>
      <w:proofErr w:type="spellEnd"/>
      <w:r w:rsidRPr="009959DA">
        <w:rPr>
          <w:rFonts w:ascii="Arial" w:hAnsi="Arial" w:cs="Arial"/>
          <w:sz w:val="28"/>
          <w:szCs w:val="28"/>
        </w:rPr>
        <w:t>)</w:t>
      </w:r>
    </w:p>
    <w:p w14:paraId="143C5FB3" w14:textId="77777777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FA494A" w14:textId="6118ECAC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Teoría del Riesgo</w:t>
      </w:r>
    </w:p>
    <w:p w14:paraId="764753DA" w14:textId="2968C164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FE216" w14:textId="43E0FB49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9959DA">
        <w:rPr>
          <w:rFonts w:ascii="Arial" w:hAnsi="Arial" w:cs="Arial"/>
          <w:sz w:val="24"/>
          <w:szCs w:val="24"/>
        </w:rPr>
        <w:t>Alarcón González</w:t>
      </w:r>
      <w:r>
        <w:rPr>
          <w:rFonts w:ascii="Arial" w:hAnsi="Arial" w:cs="Arial"/>
          <w:sz w:val="24"/>
          <w:szCs w:val="24"/>
        </w:rPr>
        <w:t xml:space="preserve"> Edgar Gerardo</w:t>
      </w:r>
    </w:p>
    <w:p w14:paraId="2914EC9F" w14:textId="349F1221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 w:rsidRPr="009959DA">
        <w:rPr>
          <w:rFonts w:ascii="Arial" w:hAnsi="Arial" w:cs="Arial"/>
          <w:sz w:val="24"/>
          <w:szCs w:val="24"/>
        </w:rPr>
        <w:t>González Alvarado Héctor</w:t>
      </w:r>
    </w:p>
    <w:p w14:paraId="5587523B" w14:textId="7AFE653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 Martínez Loria Johan</w:t>
      </w:r>
    </w:p>
    <w:p w14:paraId="0C7D5E5A" w14:textId="062ED9BD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Padilla Martínez Miriam Janeth</w:t>
      </w:r>
    </w:p>
    <w:p w14:paraId="3046F0B2" w14:textId="500C3EF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(21) Cuéllar Chávez Eduardo de Jesús</w:t>
      </w:r>
    </w:p>
    <w:p w14:paraId="02903895" w14:textId="35003DA4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(32) García Tapia Jesús Eduardo</w:t>
      </w:r>
    </w:p>
    <w:p w14:paraId="7EAA84CB" w14:textId="08CC8A6C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(60) Reyes López Arath Alejandro</w:t>
      </w:r>
    </w:p>
    <w:p w14:paraId="42F47594" w14:textId="1D2E309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(67)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51774E10" w:rsidR="009959DA" w:rsidRP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9106</w:t>
      </w:r>
    </w:p>
    <w:sectPr w:rsidR="009959DA" w:rsidRPr="009959D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6D6B87"/>
    <w:rsid w:val="009959DA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1</cp:revision>
  <dcterms:created xsi:type="dcterms:W3CDTF">2021-11-01T03:55:00Z</dcterms:created>
  <dcterms:modified xsi:type="dcterms:W3CDTF">2021-11-01T04:08:00Z</dcterms:modified>
</cp:coreProperties>
</file>