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left"/>
        <w:tblInd w:w="-108.0" w:type="dxa"/>
        <w:tblLayout w:type="fixed"/>
        <w:tblLook w:val="0000"/>
      </w:tblPr>
      <w:tblGrid>
        <w:gridCol w:w="2925"/>
        <w:gridCol w:w="585"/>
        <w:gridCol w:w="3285"/>
        <w:gridCol w:w="390"/>
        <w:gridCol w:w="3120"/>
        <w:tblGridChange w:id="0">
          <w:tblGrid>
            <w:gridCol w:w="2925"/>
            <w:gridCol w:w="585"/>
            <w:gridCol w:w="3285"/>
            <w:gridCol w:w="390"/>
            <w:gridCol w:w="3120"/>
          </w:tblGrid>
        </w:tblGridChange>
      </w:tblGrid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36"/>
                <w:szCs w:val="36"/>
                <w:rtl w:val="0"/>
              </w:rPr>
              <w:t xml:space="preserve">Yanqing Liu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(+1) 0402154782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right"/>
              <w:rPr>
                <w:rFonts w:ascii="Calibri" w:cs="Calibri" w:eastAsia="Calibri" w:hAnsi="Calibri"/>
                <w:smallCap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yanqing.liu1@student.unsw.edu.au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0"/>
                <w:bCs w:val="0"/>
                <w:smallCap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28"/>
                <w:szCs w:val="2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Sydney, Australia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University of New South Wales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pStyle w:val="Heading2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02/2025 - 02/2027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252" w:hanging="18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M.S. in Information Technology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Overall WAM: 90.333/100, High Distinction.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252" w:hanging="18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Coursework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 Interactive Design, Data Structure and Algorithm, Web Front-End Programming.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left="252" w:firstLine="0"/>
              <w:rPr>
                <w:rFonts w:ascii="Calibri" w:cs="Calibri" w:eastAsia="Calibri" w:hAnsi="Calibri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New York, USA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C">
            <w:pPr>
              <w:pStyle w:val="Heading2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Columbia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Style w:val="Heading2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09/2021 - 02/2023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252" w:hanging="18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M.S. in Applied Analytics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Major GPA: 4.132/4.3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252" w:hanging="18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Coursework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 Research Design, Storytelling with Data, Applied Analytics in the Organizational Context, Applied Analytics Frameworks and Methods, Applied Text and Natural Language Analytics.</w:t>
            </w:r>
          </w:p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Macau, China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Macau University of Science and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righ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09/2016 - 07/2020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252" w:hanging="18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Bachelor’s degree in applied economics, Major GPA: 3.86/4.0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252" w:hanging="18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Coursework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 Advanced Mathematics, Linear Algebra, Statistics, Behavioral Economics, Game Theory.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72" w:firstLine="0"/>
              <w:rPr>
                <w:rFonts w:ascii="Calibri" w:cs="Calibri" w:eastAsia="Calibri" w:hAnsi="Calibri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mallCap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28"/>
                <w:szCs w:val="28"/>
                <w:rtl w:val="0"/>
              </w:rPr>
              <w:t xml:space="preserve">Work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Frontend Developer Intern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ind w:left="72" w:firstLine="0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Beijing Puppy Agent Technology Co.Ltd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righ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08/2024 - 12/2024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ind w:left="252" w:hanging="18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Led the frontend development of a critical workflow platform which enables enterprise users to build and automate custom RAG (Retrieval-Augmented Generation) knowledge processing pipelines.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ind w:left="252" w:hanging="18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Implemented an advanced state management architecture combining ReactFlow's native context and custom hooks to achieve seamless workflow data synchronization with &lt;500ms latency.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ind w:left="252" w:hanging="18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Developed specialized node ecosystem distinguishing between data and action nodes with automated edge generation, reducing average workflow creation time from 2 hours to 30 minutes.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4"/>
                <w:szCs w:val="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ind w:left="252" w:hanging="18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Integrated Monaco Editor and custom rich text solutions with dynamic dimension adaptation and state persistence, delivering 99.9% system stability and 95% user satisfaction.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Capstone Research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8">
            <w:pPr>
              <w:pStyle w:val="Heading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84poklpuib92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Sandler’s Training Company</w:t>
            </w:r>
          </w:p>
        </w:tc>
        <w:tc>
          <w:tcPr/>
          <w:p w:rsidR="00000000" w:rsidDel="00000000" w:rsidP="00000000" w:rsidRDefault="00000000" w:rsidRPr="00000000" w14:paraId="0000004B">
            <w:pPr>
              <w:pStyle w:val="Heading2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85stgurs5zv8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09/2022 - 12/2022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Analyzed training program survey data from company employees and client organizations with clustering and classification models to uncover user experience patterns and emotional responses.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Trained a random forest model to quantify key drivers of user satisfaction and ROI, identifying critical factors such as training reinforcement effectiveness and optimal engagement duration.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ind w:left="252" w:hanging="18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Evaluated the survey instrument’s design, identifying methodological issues and recommending improvements to collect clearer emotional and behavioral insights.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ind w:left="252" w:hanging="18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Created a data-driven segmentation framework to identify high-value user groups by combining revenue, growth, and sentiment metrics, supporting more tailored experience design for diverse emotional needs.</w:t>
            </w:r>
          </w:p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mallCap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28"/>
                <w:szCs w:val="28"/>
                <w:rtl w:val="0"/>
              </w:rPr>
              <w:t xml:space="preserve">Academic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b w:val="0"/>
                <w:bCs w:val="0"/>
                <w:smallCap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Yelp Data Analysis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Analyzed 200,000+ Yelp restaurant reviews pre- and during COVID-19 to uncover shifts in customer sentiment, priorities, and language use in the hospitality industry.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Applied text mining, bigram analysis, and sentiment scoring to surface emerging pandemic-era topics like “outdoor seating”, “social distancing”, and “mask wearing” and their correlation with customer ratings.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Built a predictive decision tree model to quantify how pandemic-related factors influenced customer reviews and star ratings, informing actionable strategies for restaurants.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Delivered data-driven recommendations for restaurants to boost customer confidence, including clear COVID safety policies, outdoor dining options, and effective social media engagement.</w:t>
            </w:r>
          </w:p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ind w:left="0" w:firstLine="0"/>
              <w:rPr>
                <w:rFonts w:ascii="Calibri" w:cs="Calibri" w:eastAsia="Calibri" w:hAnsi="Calibri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left="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Taobao User Behavior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Analyzed 2M user behavior records using the AARRR framework, revealing a 66% repurchase rate and average 3 purchases per user to inform retention strategy.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Performed time-series analysis that identified peak user engagement windows (12–1 PM, 8–10 PM) and weekend surges, guiding campaign timing and resource allocation.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Built Recency-Frequency segmentation that classified 10% of users as high-value and 10% as churned, supporting targeted marketing and loyalty programs.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Evaluated funnel conversion performance, finding a 23.9% add-to-cart to purchase rate and diagnosing product recommendation gaps to increase conversions.</w:t>
            </w:r>
          </w:p>
          <w:p w:rsidR="00000000" w:rsidDel="00000000" w:rsidP="00000000" w:rsidRDefault="00000000" w:rsidRPr="00000000" w14:paraId="0000006B">
            <w:pPr>
              <w:ind w:left="0" w:firstLine="0"/>
              <w:rPr>
                <w:rFonts w:ascii="Calibri" w:cs="Calibri" w:eastAsia="Calibri" w:hAnsi="Calibri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Accessible Design for Consumer Rights Platform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Led end-to-end UX research (surveys, market analysis, usability testing) to design an accessible dispute resolution platform, ensuring reduced cognitive load and improved user confidence in high-stakes contexts.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Developed personas, scenarios, and high-fidelity prototypes, applying heuristic evaluation and iterative testing to translate research insights into evidence-based design refinements.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Integrated accessibility research into design solutions, implementing screen reader compatibility, adjustable themes, and multilingual support to broaden usability for elderly, visually impaired, and multilingual users.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Daily Calorie Tracking App: Meal Right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Designed a calorie tracking interface focusing on information hierarchy and visual feedback, implementing responsive UI components that adapt to different user contexts and device sizes to enhance accessibility.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Applied HCI design patterns in the food search and nutritional data display, creating clear visual cues and interactive elements that reduced cognitive load during meal logging and dietary planning tasks.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Prioritized user experience through thoughtful error handling, loading state indicators, and consistent navigation patterns, resulting in a coherent interface that supports efficient task completion for daily nutrition management.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28"/>
                <w:szCs w:val="28"/>
                <w:rtl w:val="0"/>
              </w:rPr>
              <w:t xml:space="preserve">Research and Technical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5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Languages: Python, HTML + CSS + JavaScript ES6, TypeScript, React, TailwindCSS, SQL, R.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Frameworks &amp; Tools: NumPy, Pandas, Docker, Jupyter.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"/>
              </w:numPr>
              <w:ind w:left="252" w:hanging="18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Research Methods: Statistics, Experimental Studies, A/B Testing, Data Mining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66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66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16" w:hanging="360"/>
      </w:pPr>
      <w:rPr>
        <w:rFonts w:ascii="Noto Sans Symbols" w:cs="Noto Sans Symbols" w:eastAsia="Noto Sans Symbols" w:hAnsi="Noto Sans Symbols"/>
        <w:color w:val="000066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636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356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076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796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516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236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956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676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jc w:val="right"/>
    </w:pPr>
    <w:rPr>
      <w:b w:val="1"/>
      <w:bCs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  <w:bCs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ind w:left="72"/>
      <w:jc w:val="both"/>
    </w:pPr>
    <w:rPr>
      <w:b w:val="1"/>
      <w:bCs w:val="1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keepNext w:val="1"/>
      <w:jc w:val="both"/>
    </w:pPr>
    <w:rPr>
      <w:b w:val="1"/>
      <w:bCs w:val="1"/>
      <w:i w:val="1"/>
      <w:iCs w:val="1"/>
      <w:sz w:val="20"/>
      <w:szCs w:val="20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yanqing-liu-rose" TargetMode="External"/><Relationship Id="rId7" Type="http://schemas.openxmlformats.org/officeDocument/2006/relationships/hyperlink" Target="https://bluerosy.github.io/BlueRos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