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Case Study: Rapid Incident Response with Zeek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2026 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Brandon Lawrence Gregg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  <w:t xml:space="preserve"> Analyze a large packet capture (PCAP) to identify an infected machine under significant hardware limitations. Traditional GUI tools (Wireshark) were inefficient for rapid correlation of user identity and host data.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I deployed </w:t>
      </w:r>
      <w:r w:rsidDel="00000000" w:rsidR="00000000" w:rsidRPr="00000000">
        <w:rPr>
          <w:b w:val="1"/>
          <w:bCs w:val="1"/>
          <w:rtl w:val="0"/>
        </w:rPr>
        <w:t xml:space="preserve">Zeek</w:t>
      </w:r>
      <w:r w:rsidDel="00000000" w:rsidR="00000000" w:rsidRPr="00000000">
        <w:rPr>
          <w:rtl w:val="0"/>
        </w:rPr>
        <w:t xml:space="preserve"> to convert the binary PCAP into a structured log database. I developed custom CLI one-liners to pivot between protocols, allowing for a "lean forensics" workflow that successfully identified the host, the user, and the malicious payload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json.txt</w:t>
      </w:r>
      <w:r w:rsidDel="00000000" w:rsidR="00000000" w:rsidRPr="00000000">
        <w:rPr>
          <w:rtl w:val="0"/>
        </w:rPr>
        <w:t xml:space="preserve">) in under 10 minutes.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This methodology reduces the "Time to Identify" (TTI) during an active breach, allowing for faster containment of Remote Access Trojans (RATs) and reducing potential data exfiltration.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