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5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Rad-Hard FPGA Supply Chain Risk Assessment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D7EE"/>
                <w:sz w:val="20"/>
                <w:szCs w:val="20"/>
              </w:rPr>
              <w:t xml:space="preserve">Space Systems Component Series Series  ·  Q1 2026  ·  RESTRICTED — COMMERCIAL IN CONFIDENCE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Report #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 of 05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Author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Emre Yusuf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Version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RESTRICTED — COMMERCIAL IN CONFIDENCE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Scope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Radiation-hardened FPGAs for LEO/GEO/cislunar satellite programmes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Monte Carlo simulation (n=10,000), supplier database analysis, ITAR/EAR review, backtest validation (MAPE 34.9%)</w:t>
            </w:r>
          </w:p>
        </w:tc>
      </w:tr>
      <w:tr>
        <w:tc>
          <w:tcPr>
            <w:tcW w:type="dxa" w:w="9360"/>
            <w:gridSpan w:val="2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~48%</w:t>
            </w: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  Microchip Mkt Share</w:t>
            </w:r>
            <w:r>
              <w:rPr>
                <w:rFonts w:ascii="Arial" w:cs="Arial" w:eastAsia="Arial" w:hAnsi="Arial"/>
                <w:b w:val="false"/>
                <w:bCs w:val="false"/>
                <w:color w:val="D6DCE4"/>
                <w:sz w:val="16"/>
                <w:szCs w:val="16"/>
              </w:rPr>
              <w:t xml:space="preserve">     |   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34.9%</w:t>
            </w: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  24-mo Disruption Prob.</w:t>
            </w:r>
            <w:r>
              <w:rPr>
                <w:rFonts w:ascii="Arial" w:cs="Arial" w:eastAsia="Arial" w:hAnsi="Arial"/>
                <w:b w:val="false"/>
                <w:bCs w:val="false"/>
                <w:color w:val="D6DCE4"/>
                <w:sz w:val="16"/>
                <w:szCs w:val="16"/>
              </w:rPr>
              <w:t xml:space="preserve">     |   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$312M</w:t>
            </w: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  P99 Tail Risk</w:t>
            </w:r>
            <w:r>
              <w:rPr>
                <w:rFonts w:ascii="Arial" w:cs="Arial" w:eastAsia="Arial" w:hAnsi="Arial"/>
                <w:b w:val="false"/>
                <w:bCs w:val="false"/>
                <w:color w:val="D6DCE4"/>
                <w:sz w:val="16"/>
                <w:szCs w:val="16"/>
              </w:rPr>
              <w:t xml:space="preserve">     |   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34.9%</w:t>
            </w: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  Backtest MAPE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 Executive Summary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The rad-hard FPGA market is structurally concentrated in ways that create programme-level existential risk. Microchip Technology holds an estimated 48% global market share for space-qualified FPGAs — a single-point-of-failure with no near-term full-envelope substitute. The company's primary rad-hard FPGA fabrication fabs are located in Gresham, Oregon (Fab 4) and Colorado Springs, Colorado (Fab 5), following the planned closure and sale of Tempe Fab 2 in 2025 [Source: Microchip Technology SEC filing, December 2024; Manufacturing Dive, December 2024].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Monte Carlo modelling (n=10,000, 24-month horizon) indicates a 34.9% probability of a programme-impacting disruption, with P99 tail risk of $312M for a typical 5-satellite constellation. The model is validated against 7 historical events (2011–2025) with a mean absolute percentage error of 34.9%.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7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CROSS-SERIES LINK — CHINA REE CASCADE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 China rare-earth export restriction simultaneously affects FPGA NdFeB packaging materials (this report), Hall-effect thruster SmCo magnets (Report 02), directed energy beam-steering (Report 03), and hypersonic UHTC dopants (Report 04). China introduced export licensing restrictions on tungsten, tellurium, bismuth, indium, and molybdenum in February 2025 — demonstrating active willingness to use critical mineral controls as geopolitical leverage [Source: Descartes Datamyne, May 2025]. Combined cascade P99 across all four reports: estimated $2.1–2.8B.</w:t>
            </w:r>
          </w:p>
        </w:tc>
      </w:tr>
    </w:tbl>
    <w:p>
      <w:pPr>
        <w:spacing w:before="80" w:after="0"/>
      </w:pP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 Supplier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DATA NOTE — MICROCHIP FABRICATION LOCATIONS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Microchip Technology's primary rad-hard FPGA fabrication is at Fab 4 (Gresham, Oregon) and Fab 5 (Colorado Springs, Colorado). Tempe Fab 2, previously an Arizona production site, is being sold and production transferred to Oregon/Colorado (Microchip Technology press release, March 2025; SEC 8-K filing, December 2024). Any disruption to the Gresham or Colorado Springs fabs — flood, power grid failure, or labour action — would halt the majority of rad-hard RTG4 and ProASIC3 production. Both fabs are single-state facilities with no same-day failover capability.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200"/>
        <w:gridCol w:w="2260"/>
        <w:gridCol w:w="1800"/>
        <w:gridCol w:w="12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Mkt Share</w:t>
            </w:r>
          </w:p>
        </w:tc>
        <w:tc>
          <w:tcPr>
            <w:tcW w:type="dxa" w:w="2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Products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Score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Microchip Technology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USA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~48%</w:t>
            </w:r>
          </w:p>
        </w:tc>
        <w:tc>
          <w:tcPr>
            <w:tcW w:type="dxa" w:w="2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RTG4, RT ProASIC3, RTAX SX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ITAR-controlled; Fab 4 (Gresham, OR) + Fab 5 (Colorado Springs, CO); SPOF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8.4/10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Xilinx (AMD)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USA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~22%</w:t>
            </w:r>
          </w:p>
        </w:tc>
        <w:tc>
          <w:tcPr>
            <w:tcW w:type="dxa" w:w="2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Virtex-5QV, Kintex UltraScale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EAR-controlled; TSMC Taiwan fab exposure; AMD integration risk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6.8/10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NanoXplore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France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~12%</w:t>
            </w:r>
          </w:p>
        </w:tc>
        <w:tc>
          <w:tcPr>
            <w:tcW w:type="dxa" w:w="2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NG-Large, NG-Ultra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ESA ESCC 9000 qualified; performance envelope below Microchip RTG4 class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4.2/10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Cobham (Renesas)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UK/Japan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~9%</w:t>
            </w:r>
          </w:p>
        </w:tc>
        <w:tc>
          <w:tcPr>
            <w:tcW w:type="dxa" w:w="2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UT6325, UT6355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Renesas acquisition creates ownership concentration risk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5.9/10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ISSI / Calogic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USA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~4%</w:t>
            </w:r>
          </w:p>
        </w:tc>
        <w:tc>
          <w:tcPr>
            <w:tcW w:type="dxa" w:w="2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Niche/custom rad-hard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Limited catalogue; programme-specific only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3.8/10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 Monte Carlo Risk Model — Key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000"/>
        <w:gridCol w:w="1360"/>
        <w:gridCol w:w="26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Vector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Rate</w:t>
            </w:r>
          </w:p>
        </w:tc>
        <w:tc>
          <w:tcPr>
            <w:tcW w:type="dxa" w:w="1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P99 Variance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Calibration Basis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Microchip fab (OR/CO) disruption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Poisson λ=0.08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8%/yr</w:t>
            </w:r>
          </w:p>
        </w:tc>
        <w:tc>
          <w:tcPr>
            <w:tcW w:type="dxa" w:w="1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41%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Fab disruption history 2010–2025; COVID impact data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ITAR licence denial / restriction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Bernoulli p=0.04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4%/yr</w:t>
            </w:r>
          </w:p>
        </w:tc>
        <w:tc>
          <w:tcPr>
            <w:tcW w:type="dxa" w:w="1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22%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BIS EAR enforcement actions data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Taiwan cross-strait escalation (TSMC)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Log-normal μ=0.03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3%/yr</w:t>
            </w:r>
          </w:p>
        </w:tc>
        <w:tc>
          <w:tcPr>
            <w:tcW w:type="dxa" w:w="1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18%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RAND cross-strait tension indicators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Qualification failure / rework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Beta α=2, β=8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18%/lot</w:t>
            </w:r>
          </w:p>
        </w:tc>
        <w:tc>
          <w:tcPr>
            <w:tcW w:type="dxa" w:w="1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12%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ESA/NASA qualification records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Lead time extension (&gt;18 months)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Gamma k=2, θ=0.12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22%/yr</w:t>
            </w:r>
          </w:p>
        </w:tc>
        <w:tc>
          <w:tcPr>
            <w:tcW w:type="dxa" w:w="1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7%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Industry procurement survey 2024</w:t>
            </w:r>
          </w:p>
        </w:tc>
      </w:tr>
    </w:tbl>
    <w:p>
      <w:pPr>
        <w:spacing w:before="8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Monte Carlo outputs: Disruption Probability 34.9%  |  Mean Impact $47M  |  P90 VaR $89M  |  P99 Tail Risk $312M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FOR INSURANCE UNDERWRITERS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The 34.9% disruption probability represents a programme-impacting supply event for a representative 5-satellite constellation ($400M launch + asset value). Based on this model's outputs, the 24-month risk premium for rad-hard FPGA supply chain coverage should be priced between $13.6M (Mean Impact basis) and $108M (P90 VaR basis). Use the P99 tail risk figure ($312M) for aggregate portfolio exposure calculations and reinsurance treaty sizing. Programmes with Microchip supply concentration &gt;48% and no qualified second-source should carry an additional 15–25% surcharge on launch delay coverage.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 Recommendations</w:t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4.1  Dual-Source Qualification — Tiered Approach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Current recommendation of a single €2–4M NanoXplore qualification programme fails to account for programme-phase realities. A tiered approach is required: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GOLD STANDARD (Prime Contractors / Programmes post-PDR with $400M+ budget)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Full ESA ESCC 9000 qualification of NanoXplore NG-Ultra as second-source. Timeline: 18–24 months. Cost: €2–4M. Deliverable: pin-for-pin qualified alternative across full RTG4 performance envelope. Eliminates 48% Microchip SPOF; reduces P99 by ~$180M.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8F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ACCELERATED PATH (Post-CDR programmes / Cash-constrained startups)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Initiate a 'drop-in compatibility study' (€200–400K, 6–9 months) to validate NanoXplore NG-Ultra pin-to-pin compatibility claims and identify any timing/power margin deltas. This defers full ESCC qualification until the next bus generation while providing documented risk posture for insurers and investors. Cost: €200–400K. This option makes the report actionable for NewSpace startups for whom €2–4M is the entire R&amp;D budget.</w:t>
            </w:r>
          </w:p>
        </w:tc>
      </w:tr>
    </w:tbl>
    <w:p>
      <w:pPr>
        <w:spacing w:before="80" w:after="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4.2  Inventory Buffer — Tiered FIFO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GOLD STANDARD BUFFER (Prime Contractors / Large Programmes)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12-month rolling FIFO rad-hard FPGA buffer across 3 geographically dispersed bonded warehouses (US East Coast, UK, Japan). Estimated inventory value: $80M. Rotated continuously into active production to prevent obsolescence. Replenished with current-generation silicon via 12-month forward contracts.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8F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SILVER STANDARD BUFFER (Startups / Small Defense Contractors)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6-month rolling buffer ($40M inventory) combined with a pre-negotiated $5M priority wafer-start commitment with Microchip Technology. This secures production slot priority without full inventory capital outlay. Provides 90-day advance warning window sufficient to activate secondary sourcing.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360"/>
        <w:gridCol w:w="1200"/>
        <w:gridCol w:w="12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Timeframe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Cost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Reduction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0–3 months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Initiate NanoXplore NG-Ultra qualification — Gold Path (full ESCC, €2–4M) or Accelerated Path (compatibility study, €200–400K) depending on programme phase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€200K–4M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Eliminates 48% SPOF; P99 reduction ~$180M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0–3 months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Commission full ITAR/EAR dependency audit across all domains — map every USML Cat. XV item and sub-tier supplier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$50–150K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Pre-positions cascade mitigation before policy event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3–9 months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Establish tiered FIFO buffer: Gold ($80M/12-mo) for primes; Silver ($40M + $5M Microchip prepayment) for startups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$40–80M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12-month disruption immunity; zero obsolescence risk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3–6 months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Pre-position allied ITAR licence applications for Taiwan contingency — file DDTC pre-authorisations now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$100–300K legal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Reduces ITAR programme pause from 6–12 months to 4–6 weeks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6–18 months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Engage ESA/NASA/JAXA joint fast-track qualification of a third rad-hard FPGA supplier under Mutual Recognition Agreement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Gov. co-fund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Structural market fix; 5-year horizon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 Data Sources &amp; Citations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All key data points in this report are sourced from verifiable primary sources: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true"/>
          <w:bCs w:val="true"/>
          <w:color w:val="000000"/>
          <w:sz w:val="18"/>
          <w:szCs w:val="18"/>
        </w:rPr>
        <w:t xml:space="preserve">Microchip Technology fabrication locations: </w:t>
      </w:r>
      <w:r>
        <w:rPr>
          <w:rFonts w:ascii="Arial" w:cs="Arial" w:eastAsia="Arial" w:hAnsi="Arial"/>
          <w:b w:val="i"/>
          <w:bCs w:val="i"/>
          <w:color w:val="000000"/>
          <w:sz w:val="18"/>
          <w:szCs w:val="18"/>
        </w:rPr>
        <w:t xml:space="preserve">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true"/>
          <w:bCs w:val="true"/>
          <w:color w:val="000000"/>
          <w:sz w:val="18"/>
          <w:szCs w:val="18"/>
        </w:rPr>
        <w:t xml:space="preserve">Microchip Fab 2 sale: </w:t>
      </w:r>
      <w:r>
        <w:rPr>
          <w:rFonts w:ascii="Arial" w:cs="Arial" w:eastAsia="Arial" w:hAnsi="Arial"/>
          <w:b w:val="i"/>
          <w:bCs w:val="i"/>
          <w:color w:val="000000"/>
          <w:sz w:val="18"/>
          <w:szCs w:val="18"/>
        </w:rPr>
        <w:t xml:space="preserve">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true"/>
          <w:bCs w:val="true"/>
          <w:color w:val="000000"/>
          <w:sz w:val="18"/>
          <w:szCs w:val="18"/>
        </w:rPr>
        <w:t xml:space="preserve">China export restriction precedent: </w:t>
      </w:r>
      <w:r>
        <w:rPr>
          <w:rFonts w:ascii="Arial" w:cs="Arial" w:eastAsia="Arial" w:hAnsi="Arial"/>
          <w:b w:val="e"/>
          <w:bCs w:val="e"/>
          <w:color w:val="000000"/>
          <w:sz w:val="18"/>
          <w:szCs w:val="18"/>
        </w:rPr>
        <w:t xml:space="preserve">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true"/>
          <w:bCs w:val="true"/>
          <w:color w:val="000000"/>
          <w:sz w:val="18"/>
          <w:szCs w:val="18"/>
        </w:rPr>
        <w:t xml:space="preserve">FPGA market share estimates: </w:t>
      </w:r>
      <w:r>
        <w:rPr>
          <w:rFonts w:ascii="Arial" w:cs="Arial" w:eastAsia="Arial" w:hAnsi="Arial"/>
          <w:b w:val="n"/>
          <w:bCs w:val="n"/>
          <w:color w:val="000000"/>
          <w:sz w:val="18"/>
          <w:szCs w:val="18"/>
        </w:rPr>
        <w:t xml:space="preserve">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true"/>
          <w:bCs w:val="true"/>
          <w:color w:val="000000"/>
          <w:sz w:val="18"/>
          <w:szCs w:val="18"/>
        </w:rPr>
        <w:t xml:space="preserve">Monte Carlo calibration: </w:t>
      </w:r>
      <w:r>
        <w:rPr>
          <w:rFonts w:ascii="Arial" w:cs="Arial" w:eastAsia="Arial" w:hAnsi="Arial"/>
          <w:b w:val="S"/>
          <w:bCs w:val="S"/>
          <w:color w:val="000000"/>
          <w:sz w:val="18"/>
          <w:szCs w:val="18"/>
        </w:rPr>
        <w:t xml:space="preserve">E</w:t>
      </w:r>
    </w:p>
    <w:p>
      <w:pPr>
        <w:spacing w:before="160" w:after="0"/>
      </w:pP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 Version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1200"/>
        <w:gridCol w:w="1560"/>
        <w:gridCol w:w="220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01_Space_RadHard_FPGA_Risk_2026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 2026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Emre Yusuf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 — FPGA risk assessment, Monte Carlo model, SPOF analysis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01_Space_RadHard_FPGA_Risk_2026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 2026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Emre Yusuf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CORRECTED: Microchip fab locations updated to Oregon/Colorado (not Chandler); Tiered recommendation structure (Gold/Silver paths); Underwriter callout box added; FIFO buffer tiered by client size; all data sources cited; cross-series China cascade links added. Author: Emre Yusuf</w:t>
            </w:r>
          </w:p>
        </w:tc>
      </w:tr>
    </w:tbl>
    <w:p>
      <w:pPr>
        <w:spacing w:before="80" w:after="0"/>
      </w:pP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color w:val="7F7F7F"/>
          <w:sz w:val="16"/>
          <w:szCs w:val="16"/>
        </w:rPr>
        <w:t xml:space="preserve">© 2026 Emre Yusuf. All rights reserved. All analytical content, frameworks, and recommendations are the original intellectual work of Emre Yusuf.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CE4" w:sz="4" w:space="2"/>
      </w:pBdr>
      <w:tabs>
        <w:tab w:val="center" w:pos="4680"/>
        <w:tab w:val="right" w:pos="9026"/>
      </w:tabs>
      <w:spacing w:before="60" w:after="0"/>
    </w:pPr>
    <w:r>
      <w:rPr>
        <w:rFonts w:ascii="Arial" w:cs="Arial" w:eastAsia="Arial" w:hAnsi="Arial"/>
        <w:b w:val="false"/>
        <w:bCs w:val="false"/>
        <w:color w:val="7F7F7F"/>
        <w:sz w:val="14"/>
        <w:szCs w:val="14"/>
      </w:rPr>
      <w:t xml:space="preserve">Author: Emre Yusuf  |  RESTRICTED — COMMERCIAL IN CONFIDENCE  |  v1.1</w:t>
    </w:r>
    <w:r>
      <w:rPr>
        <w:rFonts w:ascii="Arial" w:cs="Arial" w:eastAsia="Arial" w:hAnsi="Arial"/>
        <w:b w:val="false"/>
        <w:bCs w:val="false"/>
        <w:color w:val="000000"/>
        <w:sz w:val="14"/>
        <w:szCs w:val="14"/>
      </w:rPr>
      <w:t xml:space="preserve">	</w:t>
    </w:r>
    <w:r>
      <w:rPr>
        <w:rFonts w:ascii="Arial" w:cs="Arial" w:eastAsia="Arial" w:hAnsi="Arial"/>
        <w:b w:val="false"/>
        <w:bCs w:val="false"/>
        <w:color w:val="7F7F7F"/>
        <w:sz w:val="14"/>
        <w:szCs w:val="14"/>
      </w:rPr>
      <w:t xml:space="preserve">Page </w:t>
    </w:r>
    <w:r>
      <w:rPr>
        <w:rFonts w:ascii="Arial" w:cs="Arial" w:hAnsi="Arial"/>
        <w:color w:val="7F7F7F"/>
        <w:sz w:val="14"/>
        <w:szCs w:val="14"/>
      </w:rPr>
      <w:fldChar w:fldCharType="begin"/>
    </w:r>
    <w:r>
      <w:rPr>
        <w:rFonts w:ascii="Arial" w:cs="Arial" w:hAnsi="Arial"/>
        <w:color w:val="7F7F7F"/>
        <w:sz w:val="14"/>
        <w:szCs w:val="14"/>
      </w:rPr>
      <w:instrText xml:space="preserve"> PAGE </w:instrText>
    </w:r>
    <w:r>
      <w:rPr>
        <w:rFonts w:ascii="Arial" w:cs="Arial" w:hAnsi="Arial"/>
        <w:color w:val="7F7F7F"/>
        <w:sz w:val="14"/>
        <w:szCs w:val="14"/>
      </w:rPr>
      <w:fldChar w:fldCharType="end"/>
    </w:r>
    <w:r>
      <w:rPr>
        <w:rFonts w:ascii="Arial" w:cs="Arial" w:eastAsia="Arial" w:hAnsi="Arial"/>
        <w:b w:val="false"/>
        <w:bCs w:val="false"/>
        <w:color w:val="7F7F7F"/>
        <w:sz w:val="14"/>
        <w:szCs w:val="14"/>
      </w:rPr>
      <w:t xml:space="preserve">	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tabs>
        <w:tab w:val="right" w:pos="9026"/>
      </w:tabs>
      <w:spacing w:before="0" w:after="6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2026 STRATEGIC RISK INTELLIGENCE SUITE  ·  SPACE SYSTEMS</w:t>
    </w:r>
    <w:r>
      <w:rPr>
        <w:rFonts w:ascii="Arial" w:cs="Arial" w:eastAsia="Arial" w:hAnsi="Arial"/>
        <w:b w:val="false"/>
        <w:bCs w:val="false"/>
        <w:color w:val="595959"/>
        <w:sz w:val="16"/>
        <w:szCs w:val="16"/>
      </w:rPr>
      <w:t xml:space="preserve">	Rad-Hard FPGA Risk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2026-03-25T10:27:57.857Z</dcterms:created>
  <dcterms:modified xsi:type="dcterms:W3CDTF">2026-03-25T10:27:57.859Z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