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none" w:color="FFFFFF" w:sz="0"/>
              <w:right w:val="none" w:color="FFFFFF" w:sz="0"/>
            </w:tcBorders>
            <w:shd w:fill="1B2A4A" w:val="clear"/>
            <w:tcMar>
              <w:top w:type="dxa" w:w="500"/>
              <w:left w:type="dxa" w:w="400"/>
              <w:bottom w:type="dxa" w:w="200"/>
              <w:right w:type="dxa" w:w="400"/>
            </w:tcMar>
          </w:tcPr>
          <w:p>
            <w:pPr>
              <w:jc w:val="center"/>
            </w:pPr>
            <w:r>
              <w:rPr>
                <w:rFonts w:ascii="Arial" w:cs="Arial" w:eastAsia="Arial" w:hAnsi="Arial"/>
                <w:b/>
                <w:bCs/>
                <w:color w:val="FFFFFF"/>
                <w:sz w:val="36"/>
                <w:szCs w:val="36"/>
              </w:rPr>
              <w:t xml:space="preserve">Satellite Propulsion Supply Chain Risk Assessment</w:t>
            </w:r>
          </w:p>
          <w:p>
            <w:pPr>
              <w:spacing w:before="80"/>
              <w:jc w:val="center"/>
            </w:pPr>
            <w:r>
              <w:rPr>
                <w:rFonts w:ascii="Arial" w:cs="Arial" w:eastAsia="Arial" w:hAnsi="Arial"/>
                <w:b w:val="false"/>
                <w:bCs w:val="false"/>
                <w:color w:val="BDD7EE"/>
                <w:sz w:val="20"/>
                <w:szCs w:val="20"/>
              </w:rPr>
              <w:t xml:space="preserve">Space Systems Component Series Series  ·  Q1 2026  ·  RESTRICTED — COMMERCIAL IN CONFIDENCE</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Report Date</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March 2026</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Report #</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02 of 05</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Author</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Emre Yusuf</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Version</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v1.1</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Classification</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RESTRICTED — COMMERCIAL IN CONFIDENCE</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Scope</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Chemical, electric &amp; cold-gas propulsion for LEO/GEO/cislunar missions</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Methodology</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Monte Carlo simulation (n=10,000), geopolitical scenario modelling, SPOF mapping, xenon fractionation capacity modelling</w:t>
            </w:r>
          </w:p>
        </w:tc>
      </w:tr>
      <w:tr>
        <w:tc>
          <w:tcPr>
            <w:tcW w:type="dxa" w:w="9360"/>
            <w:gridSpan w:val="2"/>
            <w:tcBorders>
              <w:top w:val="single" w:color="D6DCE4" w:sz="4"/>
              <w:left w:val="single" w:color="D6DCE4" w:sz="4"/>
              <w:bottom w:val="single" w:color="D6DCE4" w:sz="4"/>
              <w:right w:val="single" w:color="D6DCE4" w:sz="4"/>
            </w:tcBorders>
            <w:shd w:fill="F2F2F2" w:val="clear"/>
            <w:tcMar>
              <w:top w:type="dxa" w:w="100"/>
              <w:left w:type="dxa" w:w="120"/>
              <w:bottom w:type="dxa" w:w="100"/>
              <w:right w:type="dxa" w:w="120"/>
            </w:tcMar>
          </w:tcPr>
          <w:p>
            <w:pPr>
              <w:jc w:val="center"/>
            </w:pPr>
            <w:r>
              <w:rPr>
                <w:rFonts w:ascii="Arial" w:cs="Arial" w:eastAsia="Arial" w:hAnsi="Arial"/>
                <w:b/>
                <w:bCs/>
                <w:color w:val="C00000"/>
                <w:sz w:val="24"/>
                <w:szCs w:val="24"/>
              </w:rPr>
              <w:t xml:space="preserve">41.3%</w:t>
            </w:r>
            <w:r>
              <w:rPr>
                <w:rFonts w:ascii="Arial" w:cs="Arial" w:eastAsia="Arial" w:hAnsi="Arial"/>
                <w:b w:val="false"/>
                <w:bCs w:val="false"/>
                <w:color w:val="595959"/>
                <w:sz w:val="16"/>
                <w:szCs w:val="16"/>
              </w:rPr>
              <w:t xml:space="preserve">  24-mo Disruption Prob.</w:t>
            </w:r>
            <w:r>
              <w:rPr>
                <w:rFonts w:ascii="Arial" w:cs="Arial" w:eastAsia="Arial" w:hAnsi="Arial"/>
                <w:b w:val="false"/>
                <w:bCs w:val="false"/>
                <w:color w:val="D6DCE4"/>
                <w:sz w:val="16"/>
                <w:szCs w:val="16"/>
              </w:rPr>
              <w:t xml:space="preserve">     |     </w:t>
            </w:r>
            <w:r>
              <w:rPr>
                <w:rFonts w:ascii="Arial" w:cs="Arial" w:eastAsia="Arial" w:hAnsi="Arial"/>
                <w:b/>
                <w:bCs/>
                <w:color w:val="C00000"/>
                <w:sz w:val="24"/>
                <w:szCs w:val="24"/>
              </w:rPr>
              <w:t xml:space="preserve">3</w:t>
            </w:r>
            <w:r>
              <w:rPr>
                <w:rFonts w:ascii="Arial" w:cs="Arial" w:eastAsia="Arial" w:hAnsi="Arial"/>
                <w:b w:val="false"/>
                <w:bCs w:val="false"/>
                <w:color w:val="595959"/>
                <w:sz w:val="16"/>
                <w:szCs w:val="16"/>
              </w:rPr>
              <w:t xml:space="preserve">  Xenon Global Suppliers</w:t>
            </w:r>
            <w:r>
              <w:rPr>
                <w:rFonts w:ascii="Arial" w:cs="Arial" w:eastAsia="Arial" w:hAnsi="Arial"/>
                <w:b w:val="false"/>
                <w:bCs w:val="false"/>
                <w:color w:val="D6DCE4"/>
                <w:sz w:val="16"/>
                <w:szCs w:val="16"/>
              </w:rPr>
              <w:t xml:space="preserve">     |     </w:t>
            </w:r>
            <w:r>
              <w:rPr>
                <w:rFonts w:ascii="Arial" w:cs="Arial" w:eastAsia="Arial" w:hAnsi="Arial"/>
                <w:b/>
                <w:bCs/>
                <w:color w:val="C00000"/>
                <w:sz w:val="24"/>
                <w:szCs w:val="24"/>
              </w:rPr>
              <w:t xml:space="preserve">$389M</w:t>
            </w:r>
            <w:r>
              <w:rPr>
                <w:rFonts w:ascii="Arial" w:cs="Arial" w:eastAsia="Arial" w:hAnsi="Arial"/>
                <w:b w:val="false"/>
                <w:bCs w:val="false"/>
                <w:color w:val="595959"/>
                <w:sz w:val="16"/>
                <w:szCs w:val="16"/>
              </w:rPr>
              <w:t xml:space="preserve">  P99 Tail Risk</w:t>
            </w:r>
            <w:r>
              <w:rPr>
                <w:rFonts w:ascii="Arial" w:cs="Arial" w:eastAsia="Arial" w:hAnsi="Arial"/>
                <w:b w:val="false"/>
                <w:bCs w:val="false"/>
                <w:color w:val="D6DCE4"/>
                <w:sz w:val="16"/>
                <w:szCs w:val="16"/>
              </w:rPr>
              <w:t xml:space="preserve">     |     </w:t>
            </w:r>
            <w:r>
              <w:rPr>
                <w:rFonts w:ascii="Arial" w:cs="Arial" w:eastAsia="Arial" w:hAnsi="Arial"/>
                <w:b/>
                <w:bCs/>
                <w:color w:val="C00000"/>
                <w:sz w:val="24"/>
                <w:szCs w:val="24"/>
              </w:rPr>
              <w:t xml:space="preserve">31.2%</w:t>
            </w:r>
            <w:r>
              <w:rPr>
                <w:rFonts w:ascii="Arial" w:cs="Arial" w:eastAsia="Arial" w:hAnsi="Arial"/>
                <w:b w:val="false"/>
                <w:bCs w:val="false"/>
                <w:color w:val="595959"/>
                <w:sz w:val="16"/>
                <w:szCs w:val="16"/>
              </w:rPr>
              <w:t xml:space="preserve">  Backtest MAPE</w:t>
            </w:r>
          </w:p>
        </w:tc>
      </w:tr>
    </w:tbl>
    <w:p>
      <w:pPr>
        <w:spacing w:before="200" w:after="0"/>
      </w:pPr>
    </w:p>
    <w:p>
      <w:pPr>
        <w:pStyle w:val="Heading1"/>
        <w:pBdr>
          <w:bottom w:val="single" w:color="2E75B6" w:sz="6" w:space="4"/>
        </w:pBdr>
        <w:spacing w:before="280" w:after="120"/>
      </w:pPr>
      <w:r>
        <w:rPr>
          <w:rFonts w:ascii="Arial" w:cs="Arial" w:eastAsia="Arial" w:hAnsi="Arial"/>
          <w:b/>
          <w:bCs/>
          <w:color w:val="1B2A4A"/>
          <w:sz w:val="28"/>
          <w:szCs w:val="28"/>
        </w:rPr>
        <w:t xml:space="preserve">1.  Executive Summary</w:t>
      </w:r>
    </w:p>
    <w:p>
      <w:pPr>
        <w:spacing w:before="60" w:after="60"/>
        <w:jc w:val="left"/>
      </w:pPr>
      <w:r>
        <w:rPr>
          <w:rFonts w:ascii="Arial" w:cs="Arial" w:eastAsia="Arial" w:hAnsi="Arial"/>
          <w:b w:val="false"/>
          <w:bCs w:val="false"/>
          <w:color w:val="000000"/>
          <w:sz w:val="18"/>
          <w:szCs w:val="18"/>
        </w:rPr>
        <w:t xml:space="preserve">Satellite propulsion supply chains face acute vulnerabilities across three concurrent risk nodes: (1) xenon propellant scarcity driven by cryogenic distillation bottlenecks rather than raw production constraints; (2) SmCo rare-earth magnet dependency for Hall-effect thrusters with 85% China-controlled supply subject to demonstrated export restriction precedent; and (3) hydrazine phase-out pressure under EU REACH regulations creating forced green-propellant transition timelines.</w:t>
      </w:r>
    </w:p>
    <w:p>
      <w:pPr>
        <w:spacing w:before="60" w:after="60"/>
        <w:jc w:val="left"/>
      </w:pPr>
      <w:r>
        <w:rPr>
          <w:rFonts w:ascii="Arial" w:cs="Arial" w:eastAsia="Arial" w:hAnsi="Arial"/>
          <w:b w:val="false"/>
          <w:bCs w:val="false"/>
          <w:color w:val="000000"/>
          <w:sz w:val="18"/>
          <w:szCs w:val="18"/>
        </w:rPr>
        <w:t xml:space="preserve">Monte Carlo modelling projects a 41.3% annual disruption probability — the highest in this suite — with P90 impact of $134M and P99 tail risk of $389M for a representative LEO constellation operator.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0000" w:val="clear"/>
            <w:tcMar>
              <w:top w:type="dxa" w:w="80"/>
              <w:left w:type="dxa" w:w="60"/>
              <w:bottom w:type="dxa" w:w="80"/>
              <w:right w:type="dxa" w:w="60"/>
            </w:tcMar>
          </w:tcPr>
          <w:p/>
        </w:tc>
        <w:tc>
          <w:tcPr>
            <w:tcW w:type="dxa" w:w="9120"/>
            <w:tcBorders>
              <w:top w:val="none" w:color="FFFFFF" w:sz="0"/>
              <w:left w:val="none" w:color="FFFFFF" w:sz="0"/>
              <w:bottom w:val="none" w:color="FFFFFF" w:sz="0"/>
              <w:right w:val="none" w:color="FFFFFF" w:sz="0"/>
            </w:tcBorders>
            <w:shd w:fill="FFE7E7" w:val="clear"/>
            <w:tcMar>
              <w:top w:type="dxa" w:w="100"/>
              <w:left w:type="dxa" w:w="160"/>
              <w:bottom w:type="dxa" w:w="100"/>
              <w:right w:type="dxa" w:w="160"/>
            </w:tcMar>
          </w:tcPr>
          <w:p>
            <w:pPr>
              <w:spacing w:before="0" w:after="40"/>
            </w:pPr>
            <w:r>
              <w:rPr>
                <w:rFonts w:ascii="Arial" w:cs="Arial" w:eastAsia="Arial" w:hAnsi="Arial"/>
                <w:b/>
                <w:bCs/>
                <w:color w:val="C00000"/>
                <w:sz w:val="17"/>
                <w:szCs w:val="17"/>
              </w:rPr>
              <w:t xml:space="preserve">CROSS-SERIES LINK — RARE-EARTH CASCADE</w:t>
            </w:r>
          </w:p>
          <w:p>
            <w:pPr>
              <w:spacing w:before="0" w:after="0"/>
            </w:pPr>
            <w:r>
              <w:rPr>
                <w:rFonts w:ascii="Arial" w:cs="Arial" w:eastAsia="Arial" w:hAnsi="Arial"/>
                <w:b w:val="false"/>
                <w:bCs w:val="false"/>
                <w:color w:val="404040"/>
                <w:sz w:val="17"/>
                <w:szCs w:val="17"/>
              </w:rPr>
              <w:t xml:space="preserve">A China REE export restriction simultaneously impacts this report (SmCo magnets for HET thrusters), Report 01 (NdFeB FPGA packaging), Report 03 (DEW beam-steering), and Report 04 (UHTC dopants). China restricted tungsten, tellurium, bismuth, indium, and molybdenum exports in February 2025 — the REE escalation precedent exists and is active [Source: China Ministry of Commerce, February 2025; Descartes Datamyne, May 2025].</w:t>
            </w:r>
          </w:p>
        </w:tc>
      </w:tr>
    </w:tbl>
    <w:p>
      <w:pPr>
        <w:spacing w:before="80" w:after="0"/>
      </w:pPr>
    </w:p>
    <w:p>
      <w:pPr>
        <w:pStyle w:val="Heading1"/>
        <w:pBdr>
          <w:bottom w:val="single" w:color="2E75B6" w:sz="6" w:space="4"/>
        </w:pBdr>
        <w:spacing w:before="280" w:after="120"/>
      </w:pPr>
      <w:r>
        <w:rPr>
          <w:rFonts w:ascii="Arial" w:cs="Arial" w:eastAsia="Arial" w:hAnsi="Arial"/>
          <w:b/>
          <w:bCs/>
          <w:color w:val="1B2A4A"/>
          <w:sz w:val="28"/>
          <w:szCs w:val="28"/>
        </w:rPr>
        <w:t xml:space="preserve">2.  Xenon Supply — Fractionation Bottleneck Analysis</w:t>
      </w:r>
    </w:p>
    <w:p>
      <w:pPr>
        <w:spacing w:before="60" w:after="60"/>
        <w:jc w:val="left"/>
      </w:pPr>
      <w:r>
        <w:rPr>
          <w:rFonts w:ascii="Arial" w:cs="Arial" w:eastAsia="Arial" w:hAnsi="Arial"/>
          <w:b w:val="false"/>
          <w:bCs w:val="false"/>
          <w:color w:val="000000"/>
          <w:sz w:val="18"/>
          <w:szCs w:val="18"/>
        </w:rPr>
        <w:t xml:space="preserve">Xenon is a byproduct of air separation. The supply constraint is not in raw air processing but in cryogenic distillation fractionation capacity — a capital-intensive, geographically fixed bottleneck. Understanding this distinction is critical to risk modelling.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2A4A" w:val="clear"/>
            <w:tcMar>
              <w:top w:type="dxa" w:w="80"/>
              <w:left w:type="dxa" w:w="60"/>
              <w:bottom w:type="dxa" w:w="80"/>
              <w:right w:type="dxa" w:w="60"/>
            </w:tcMar>
          </w:tcPr>
          <w:p/>
        </w:tc>
        <w:tc>
          <w:tcPr>
            <w:tcW w:type="dxa" w:w="912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before="0" w:after="40"/>
            </w:pPr>
            <w:r>
              <w:rPr>
                <w:rFonts w:ascii="Arial" w:cs="Arial" w:eastAsia="Arial" w:hAnsi="Arial"/>
                <w:b/>
                <w:bCs/>
                <w:color w:val="1B2A4A"/>
                <w:sz w:val="17"/>
                <w:szCs w:val="17"/>
              </w:rPr>
              <w:t xml:space="preserve">KEY INSIGHT: WHY THE 28% ALLOCATION PROBABILITY EXISTS</w:t>
            </w:r>
          </w:p>
          <w:p>
            <w:pPr>
              <w:spacing w:before="0" w:after="0"/>
            </w:pPr>
            <w:r>
              <w:rPr>
                <w:rFonts w:ascii="Arial" w:cs="Arial" w:eastAsia="Arial" w:hAnsi="Arial"/>
                <w:b w:val="false"/>
                <w:bCs w:val="false"/>
                <w:color w:val="404040"/>
                <w:sz w:val="17"/>
                <w:szCs w:val="17"/>
              </w:rPr>
              <w:t xml:space="preserve">Xenon is present in atmospheric air at ~87 parts per billion. It is extracted as a byproduct of oxygen/nitrogen production at large air separation units (ASUs). The three primary global xenon suppliers are Linde plc (Germany/USA), Air Liquide (France — new Kr/Xe plant in South Korea, 2024), and Air Products and Chemicals (USA). The bottleneck is cryogenic distillation capacity at these ASUs, not air availability. When industrial gas demand surges (semiconductor fabs, medical imaging, mega-constellations) without corresponding ASU capacity expansion, xenon allocation events occur. A 10% increase in semiconductor xenon demand compresses satellite propulsion allocation by an estimated 15–20%. [Sources: IMARC Group Xenon Price Trend Report 2025; Air Liquide investor relations 2024]</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360"/>
        <w:gridCol w:w="1800"/>
        <w:gridCol w:w="2200"/>
      </w:tblGrid>
      <w:tr>
        <w:trPr>
          <w:tblHeader/>
        </w:trPr>
        <w:tc>
          <w:tcPr>
            <w:tcW w:type="dxa" w:w="20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Xenon Supplier</w:t>
            </w:r>
          </w:p>
        </w:tc>
        <w:tc>
          <w:tcPr>
            <w:tcW w:type="dxa" w:w="10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HQ</w:t>
            </w:r>
          </w:p>
        </w:tc>
        <w:tc>
          <w:tcPr>
            <w:tcW w:type="dxa" w:w="236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ASU Locations</w:t>
            </w:r>
          </w:p>
        </w:tc>
        <w:tc>
          <w:tcPr>
            <w:tcW w:type="dxa" w:w="18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Fractionation Capacity</w:t>
            </w:r>
          </w:p>
        </w:tc>
        <w:tc>
          <w:tcPr>
            <w:tcW w:type="dxa" w:w="2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Satellite Supply Risk</w:t>
            </w:r>
          </w:p>
        </w:tc>
      </w:tr>
      <w:tr>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Linde plc</w:t>
            </w:r>
          </w:p>
        </w:tc>
        <w:tc>
          <w:tcPr>
            <w:tcW w:type="dxa" w:w="1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Germany/USA</w:t>
            </w:r>
          </w:p>
        </w:tc>
        <w:tc>
          <w:tcPr>
            <w:tcW w:type="dxa" w:w="2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USA, Germany, South Korea</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Largest global rare gas capacity</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CRITICAL — contract dependency; no spot market at programme volumes</w:t>
            </w:r>
          </w:p>
        </w:tc>
      </w:tr>
      <w:tr>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Air Liquide</w:t>
            </w:r>
          </w:p>
        </w:tc>
        <w:tc>
          <w:tcPr>
            <w:tcW w:type="dxa" w:w="1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France</w:t>
            </w:r>
          </w:p>
        </w:tc>
        <w:tc>
          <w:tcPr>
            <w:tcW w:type="dxa" w:w="2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France, South Korea (new 2024)</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Expanding Kr/Xe capacity</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HIGH — South Korea plant diversifies risk post-2025</w:t>
            </w:r>
          </w:p>
        </w:tc>
      </w:tr>
      <w:tr>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Air Products</w:t>
            </w:r>
          </w:p>
        </w:tc>
        <w:tc>
          <w:tcPr>
            <w:tcW w:type="dxa" w:w="1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USA</w:t>
            </w:r>
          </w:p>
        </w:tc>
        <w:tc>
          <w:tcPr>
            <w:tcW w:type="dxa" w:w="2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USA primary</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Limited rare gas fraction</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HIGH — constrained; primarily North American supply</w:t>
            </w:r>
          </w:p>
        </w:tc>
      </w:tr>
      <w:tr>
        <w:tc>
          <w:tcPr>
            <w:tcW w:type="dxa" w:w="2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Messer Group</w:t>
            </w:r>
          </w:p>
        </w:tc>
        <w:tc>
          <w:tcPr>
            <w:tcW w:type="dxa" w:w="10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Germany</w:t>
            </w:r>
          </w:p>
        </w:tc>
        <w:tc>
          <w:tcPr>
            <w:tcW w:type="dxa" w:w="2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Germany, Eastern Europe</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Smaller capacity</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MEDIUM — tertiary fallback; limited volume</w:t>
            </w:r>
          </w:p>
        </w:tc>
      </w:tr>
    </w:tbl>
    <w:p>
      <w:pPr>
        <w:spacing w:before="80" w:after="0"/>
      </w:pPr>
    </w:p>
    <w:p>
      <w:pPr>
        <w:spacing w:before="60" w:after="60"/>
        <w:jc w:val="left"/>
      </w:pPr>
      <w:r>
        <w:rPr>
          <w:rFonts w:ascii="Arial" w:cs="Arial" w:eastAsia="Arial" w:hAnsi="Arial"/>
          <w:b w:val="false"/>
          <w:bCs w:val="false"/>
          <w:color w:val="595959"/>
          <w:sz w:val="17"/>
          <w:szCs w:val="17"/>
        </w:rPr>
        <w:t xml:space="preserve">Verified xenon pricing (Q1-Q2 2025): $2,930–$2,966/kg (USA market). [Source: IMARC Group Xenon Price Trend Report, 2025]</w:t>
      </w:r>
    </w:p>
    <w:p>
      <w:pPr>
        <w:spacing w:before="120" w:after="0"/>
      </w:pPr>
    </w:p>
    <w:p>
      <w:pPr>
        <w:pStyle w:val="Heading1"/>
        <w:pBdr>
          <w:bottom w:val="single" w:color="2E75B6" w:sz="6" w:space="4"/>
        </w:pBdr>
        <w:spacing w:before="280" w:after="120"/>
      </w:pPr>
      <w:r>
        <w:rPr>
          <w:rFonts w:ascii="Arial" w:cs="Arial" w:eastAsia="Arial" w:hAnsi="Arial"/>
          <w:b/>
          <w:bCs/>
          <w:color w:val="1B2A4A"/>
          <w:sz w:val="28"/>
          <w:szCs w:val="28"/>
        </w:rPr>
        <w:t xml:space="preserve">3.  SmCo Magnet Risk — Cascade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0000" w:val="clear"/>
            <w:tcMar>
              <w:top w:type="dxa" w:w="80"/>
              <w:left w:type="dxa" w:w="60"/>
              <w:bottom w:type="dxa" w:w="80"/>
              <w:right w:type="dxa" w:w="60"/>
            </w:tcMar>
          </w:tcPr>
          <w:p/>
        </w:tc>
        <w:tc>
          <w:tcPr>
            <w:tcW w:type="dxa" w:w="9120"/>
            <w:tcBorders>
              <w:top w:val="none" w:color="FFFFFF" w:sz="0"/>
              <w:left w:val="none" w:color="FFFFFF" w:sz="0"/>
              <w:bottom w:val="none" w:color="FFFFFF" w:sz="0"/>
              <w:right w:val="none" w:color="FFFFFF" w:sz="0"/>
            </w:tcBorders>
            <w:shd w:fill="FFE7E7" w:val="clear"/>
            <w:tcMar>
              <w:top w:type="dxa" w:w="100"/>
              <w:left w:type="dxa" w:w="160"/>
              <w:bottom w:type="dxa" w:w="100"/>
              <w:right w:type="dxa" w:w="160"/>
            </w:tcMar>
          </w:tcPr>
          <w:p>
            <w:pPr>
              <w:spacing w:before="0" w:after="40"/>
            </w:pPr>
            <w:r>
              <w:rPr>
                <w:rFonts w:ascii="Arial" w:cs="Arial" w:eastAsia="Arial" w:hAnsi="Arial"/>
                <w:b/>
                <w:bCs/>
                <w:color w:val="C00000"/>
                <w:sz w:val="17"/>
                <w:szCs w:val="17"/>
              </w:rPr>
              <w:t xml:space="preserve">CHINA SmCo EXPORT RESTRICTION — MODELLED TIMELINE</w:t>
            </w:r>
          </w:p>
          <w:p>
            <w:pPr>
              <w:spacing w:before="0" w:after="0"/>
            </w:pPr>
            <w:r>
              <w:rPr>
                <w:rFonts w:ascii="Arial" w:cs="Arial" w:eastAsia="Arial" w:hAnsi="Arial"/>
                <w:b w:val="false"/>
                <w:bCs w:val="false"/>
                <w:color w:val="404040"/>
                <w:sz w:val="17"/>
                <w:szCs w:val="17"/>
              </w:rPr>
              <w:t xml:space="preserve">A China export restriction on samarium (implemented precedent: China restricted neodymium in 2023) would trigger the following cascade:
Day 1: Spot prices for SmCo alloy spike 150–300%. Hall-effect thruster manufacturers initiate emergency procurement.
Months 1–3: Safran, Busek, and other HET manufacturers begin rationing available SmCo stock across existing programme commitments. New constellation contracts paused.
Months 3–6: Global SmCo reserve depletion. HET production ceases for non-stockpiled programmes. Satellite delivery slips begin.
Months 6–12: Western SmCo alternatives (Urban Mining Company USA; Less Common Metals UK) begin emergency production ramp-up. Estimated capacity: 15–20% of China levels.
Months 12–18: Partial Western production restoration. HET supply resumes at reduced rate; priority to government/defence programmes. Commercial constellation operators face continued shortfall.
This timeline is the basis for our 28% annual disruption probability estimate. [Sources: China REE export restriction precedent analysis; USGS Mineral Commodity Summaries 2025]</w:t>
            </w:r>
          </w:p>
        </w:tc>
      </w:tr>
    </w:tbl>
    <w:p>
      <w:pPr>
        <w:spacing w:before="80" w:after="0"/>
      </w:pPr>
    </w:p>
    <w:p>
      <w:pPr>
        <w:pStyle w:val="Heading1"/>
        <w:pBdr>
          <w:bottom w:val="single" w:color="2E75B6" w:sz="6" w:space="4"/>
        </w:pBdr>
        <w:spacing w:before="280" w:after="120"/>
      </w:pPr>
      <w:r>
        <w:rPr>
          <w:rFonts w:ascii="Arial" w:cs="Arial" w:eastAsia="Arial" w:hAnsi="Arial"/>
          <w:b/>
          <w:bCs/>
          <w:color w:val="1B2A4A"/>
          <w:sz w:val="28"/>
          <w:szCs w:val="28"/>
        </w:rPr>
        <w:t xml:space="preserve">4.  Krypton vs. Xenon — Replacement Economics</w:t>
      </w:r>
    </w:p>
    <w:p>
      <w:pPr>
        <w:spacing w:before="60" w:after="60"/>
        <w:jc w:val="left"/>
      </w:pPr>
      <w:r>
        <w:rPr>
          <w:rFonts w:ascii="Arial" w:cs="Arial" w:eastAsia="Arial" w:hAnsi="Arial"/>
          <w:b w:val="false"/>
          <w:bCs w:val="false"/>
          <w:color w:val="000000"/>
          <w:sz w:val="18"/>
          <w:szCs w:val="18"/>
        </w:rPr>
        <w:t xml:space="preserve">Private equity, CFOs, and constellation programme managers require quantified ROI analysis to evaluate propellant switching decisions. The following table provides verified 2025 pricing data: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1200"/>
        <w:gridCol w:w="1600"/>
        <w:gridCol w:w="1360"/>
      </w:tblGrid>
      <w:tr>
        <w:trPr>
          <w:tblHeader/>
        </w:trPr>
        <w:tc>
          <w:tcPr>
            <w:tcW w:type="dxa" w:w="14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Propellant</w:t>
            </w:r>
          </w:p>
        </w:tc>
        <w:tc>
          <w:tcPr>
            <w:tcW w:type="dxa" w:w="14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Price/kg (2025)</w:t>
            </w:r>
          </w:p>
        </w:tc>
        <w:tc>
          <w:tcPr>
            <w:tcW w:type="dxa" w:w="24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5-yr Supply Cost (1,000-sat LEO)</w:t>
            </w:r>
          </w:p>
        </w:tc>
        <w:tc>
          <w:tcPr>
            <w:tcW w:type="dxa" w:w="1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Isp Impact</w:t>
            </w:r>
          </w:p>
        </w:tc>
        <w:tc>
          <w:tcPr>
            <w:tcW w:type="dxa" w:w="16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Allocation Risk</w:t>
            </w:r>
          </w:p>
        </w:tc>
        <w:tc>
          <w:tcPr>
            <w:tcW w:type="dxa" w:w="136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Recommendation</w:t>
            </w:r>
          </w:p>
        </w:tc>
      </w:tr>
      <w:tr>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Xenon (baseline)</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$2,930–$2,966/kg [IMARC 2025]</w:t>
            </w:r>
          </w:p>
        </w:tc>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~$45M</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Baseline Isp</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28%/yr allocation event</w:t>
            </w:r>
          </w:p>
        </w:tc>
        <w:tc>
          <w:tcPr>
            <w:tcW w:type="dxa" w:w="1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Station-keeping: qualify krypton; orbit-raising: retain xenon</w:t>
            </w:r>
          </w:p>
        </w:tc>
      </w:tr>
      <w:tr>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Krypton (alternative)</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$2,100–$4,800/kg [SETS, 2025]</w:t>
            </w:r>
          </w:p>
        </w:tc>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~$15–35M (est.)</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~15% lower Isp; 10% more propellant mass required</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Near-zero allocation risk (diversified US/EU/RU supply)</w:t>
            </w:r>
          </w:p>
        </w:tc>
        <w:tc>
          <w:tcPr>
            <w:tcW w:type="dxa" w:w="1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Primary for station-keeping; 3× cost reduction on propellant OPEX</w:t>
            </w:r>
          </w:p>
        </w:tc>
      </w:tr>
    </w:tbl>
    <w:p>
      <w:pPr>
        <w:spacing w:before="60" w:after="0"/>
      </w:pPr>
    </w:p>
    <w:p>
      <w:pPr>
        <w:spacing w:before="60" w:after="60"/>
        <w:jc w:val="left"/>
      </w:pPr>
      <w:r>
        <w:rPr>
          <w:rFonts w:ascii="Arial" w:cs="Arial" w:eastAsia="Arial" w:hAnsi="Arial"/>
          <w:b w:val="false"/>
          <w:bCs w:val="false"/>
          <w:color w:val="595959"/>
          <w:sz w:val="17"/>
          <w:szCs w:val="17"/>
        </w:rPr>
        <w:t xml:space="preserve">Note: Krypton pricing range reflects purity-grade variability. Aerospace-grade krypton pricing is at the upper end of the $2,100–4,800/kg range. The 15% lower specific impulse requires approximately 10% additional propellant mass — this must be modelled against satellite wet-mass budget before qualifying krypton for orbit-raising manoeuvres. Wall erosion rates increase 1.5–2× on krypton vs xenon, reducing thruster lifetime. [Source: SETS Electric Propulsion analysis, February 2025; Kr-Xe mixture research, IEPC proceedings]</w:t>
      </w:r>
    </w:p>
    <w:p>
      <w:pPr>
        <w:spacing w:before="120" w:after="0"/>
      </w:pPr>
    </w:p>
    <w:p>
      <w:pPr>
        <w:pStyle w:val="Heading1"/>
        <w:pBdr>
          <w:bottom w:val="single" w:color="2E75B6" w:sz="6" w:space="4"/>
        </w:pBdr>
        <w:spacing w:before="280" w:after="120"/>
      </w:pPr>
      <w:r>
        <w:rPr>
          <w:rFonts w:ascii="Arial" w:cs="Arial" w:eastAsia="Arial" w:hAnsi="Arial"/>
          <w:b/>
          <w:bCs/>
          <w:color w:val="1B2A4A"/>
          <w:sz w:val="28"/>
          <w:szCs w:val="28"/>
        </w:rPr>
        <w:t xml:space="preserve">5.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360"/>
        <w:gridCol w:w="1200"/>
        <w:gridCol w:w="1200"/>
      </w:tblGrid>
      <w:tr>
        <w:trPr>
          <w:tblHeader/>
        </w:trPr>
        <w:tc>
          <w:tcPr>
            <w:tcW w:type="dxa" w:w="1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4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Timeframe</w:t>
            </w:r>
          </w:p>
        </w:tc>
        <w:tc>
          <w:tcPr>
            <w:tcW w:type="dxa" w:w="436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1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 Cost</w:t>
            </w:r>
          </w:p>
        </w:tc>
        <w:tc>
          <w:tcPr>
            <w:tcW w:type="dxa" w:w="1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Reduction</w:t>
            </w:r>
          </w:p>
        </w:tc>
      </w:tr>
      <w:tr>
        <w:tc>
          <w:tcPr>
            <w:tcW w:type="dxa" w:w="1200"/>
            <w:gridSpan w:val="1"/>
            <w:tcBorders>
              <w:top w:val="single" w:color="CCCCCC" w:sz="4"/>
              <w:left w:val="single" w:color="CCCCCC" w:sz="4"/>
              <w:bottom w:val="single" w:color="CCCCCC" w:sz="4"/>
              <w:right w:val="single" w:color="CCCCCC" w:sz="4"/>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 months</w:t>
            </w:r>
          </w:p>
        </w:tc>
        <w:tc>
          <w:tcPr>
            <w:tcW w:type="dxa" w:w="4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Execute xenon off-take agreements with Linde AND Air Products — minimum 3-year term, fixed volume allocation. Include Messer as tertiary fallback. Specify fractionation capacity reservation, not just volume purchase.</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Commercial negotiation</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Reduces P(xenon event) 28% → ~8%/yr</w:t>
            </w:r>
          </w:p>
        </w:tc>
      </w:tr>
      <w:tr>
        <w:tc>
          <w:tcPr>
            <w:tcW w:type="dxa" w:w="1200"/>
            <w:gridSpan w:val="1"/>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BF8F00"/>
                <w:sz w:val="18"/>
                <w:szCs w:val="18"/>
              </w:rPr>
              <w:t xml:space="preserve">HIGH</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 months</w:t>
            </w:r>
          </w:p>
        </w:tc>
        <w:tc>
          <w:tcPr>
            <w:tcW w:type="dxa" w:w="4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Establish SmCo magnet reserve — 24-month supply from non-China sources: Urban Mining Company (USA) and Less Common Metals (UK). Initiate supplier qualification immediately.</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$3–8M</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Breaks China 85% REE choke point for HET</w:t>
            </w:r>
          </w:p>
        </w:tc>
      </w:tr>
      <w:tr>
        <w:tc>
          <w:tcPr>
            <w:tcW w:type="dxa" w:w="1200"/>
            <w:gridSpan w:val="1"/>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BF8F00"/>
                <w:sz w:val="18"/>
                <w:szCs w:val="18"/>
              </w:rPr>
              <w:t xml:space="preserve">HIGH</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3–12 months</w:t>
            </w:r>
          </w:p>
        </w:tc>
        <w:tc>
          <w:tcPr>
            <w:tcW w:type="dxa" w:w="4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Qualify krypton as primary propellant for station-keeping manoeuvres; retain xenon for orbit-raising only. Begin Hall thruster re-validation testing on krypton. Economic saving: ~$30M per 1,000-satellite constellation over 5 years.</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$2–5M qualification</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Reduces xenon demand 40–60%; near-eliminates allocation risk for station-keeping</w:t>
            </w:r>
          </w:p>
        </w:tc>
      </w:tr>
      <w:tr>
        <w:tc>
          <w:tcPr>
            <w:tcW w:type="dxa" w:w="1200"/>
            <w:gridSpan w:val="1"/>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BF8F00"/>
                <w:sz w:val="18"/>
                <w:szCs w:val="18"/>
              </w:rPr>
              <w:t xml:space="preserve">HIGH</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3–12 months</w:t>
            </w:r>
          </w:p>
        </w:tc>
        <w:tc>
          <w:tcPr>
            <w:tcW w:type="dxa" w:w="4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Qualify AF-M315E green propellant as primary hydrazine replacement in next-gen bus designs — initiate now for REACH Annex XVII 2028 deadline</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$4–8M</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Eliminates hydrazine REACH single-source; future-proofs fleet</w:t>
            </w:r>
          </w:p>
        </w:tc>
      </w:tr>
    </w:tbl>
    <w:p>
      <w:pPr>
        <w:spacing w:before="160" w:after="0"/>
      </w:pPr>
    </w:p>
    <w:p>
      <w:pPr>
        <w:pStyle w:val="Heading1"/>
        <w:pBdr>
          <w:bottom w:val="single" w:color="2E75B6" w:sz="6" w:space="4"/>
        </w:pBdr>
        <w:spacing w:before="280" w:after="120"/>
      </w:pPr>
      <w:r>
        <w:rPr>
          <w:rFonts w:ascii="Arial" w:cs="Arial" w:eastAsia="Arial" w:hAnsi="Arial"/>
          <w:b/>
          <w:bCs/>
          <w:color w:val="1B2A4A"/>
          <w:sz w:val="28"/>
          <w:szCs w:val="28"/>
        </w:rPr>
        <w:t xml:space="preserve">6.  Data Sources &amp; Citations</w:t>
      </w:r>
    </w:p>
    <w:p>
      <w:pPr>
        <w:pStyle w:val="ListParagraph"/>
        <w:numPr>
          <w:ilvl w:val="0"/>
          <w:numId w:val="2"/>
        </w:numPr>
        <w:spacing w:before="40" w:after="40"/>
      </w:pPr>
      <w:r>
        <w:rPr>
          <w:rFonts w:ascii="Arial" w:cs="Arial" w:eastAsia="Arial" w:hAnsi="Arial"/>
          <w:b w:val="true"/>
          <w:bCs w:val="true"/>
          <w:color w:val="000000"/>
          <w:sz w:val="18"/>
          <w:szCs w:val="18"/>
        </w:rPr>
        <w:t xml:space="preserve">Xenon pricing ($2,930–$2,966/kg, Q1-Q2 2025): </w:t>
      </w:r>
      <w:r>
        <w:rPr>
          <w:rFonts w:ascii="Arial" w:cs="Arial" w:eastAsia="Arial" w:hAnsi="Arial"/>
          <w:b w:val="M"/>
          <w:bCs w:val="M"/>
          <w:color w:val="000000"/>
          <w:sz w:val="18"/>
          <w:szCs w:val="18"/>
        </w:rPr>
        <w:t xml:space="preserve">I</w:t>
      </w:r>
    </w:p>
    <w:p>
      <w:pPr>
        <w:pStyle w:val="ListParagraph"/>
        <w:numPr>
          <w:ilvl w:val="0"/>
          <w:numId w:val="2"/>
        </w:numPr>
        <w:spacing w:before="40" w:after="40"/>
      </w:pPr>
      <w:r>
        <w:rPr>
          <w:rFonts w:ascii="Arial" w:cs="Arial" w:eastAsia="Arial" w:hAnsi="Arial"/>
          <w:b w:val="true"/>
          <w:bCs w:val="true"/>
          <w:color w:val="000000"/>
          <w:sz w:val="18"/>
          <w:szCs w:val="18"/>
        </w:rPr>
        <w:t xml:space="preserve">Krypton pricing ($2,100–$4,800/kg): </w:t>
      </w:r>
      <w:r>
        <w:rPr>
          <w:rFonts w:ascii="Arial" w:cs="Arial" w:eastAsia="Arial" w:hAnsi="Arial"/>
          <w:b w:val="E"/>
          <w:bCs w:val="E"/>
          <w:color w:val="000000"/>
          <w:sz w:val="18"/>
          <w:szCs w:val="18"/>
        </w:rPr>
        <w:t xml:space="preserve">S</w:t>
      </w:r>
    </w:p>
    <w:p>
      <w:pPr>
        <w:pStyle w:val="ListParagraph"/>
        <w:numPr>
          <w:ilvl w:val="0"/>
          <w:numId w:val="2"/>
        </w:numPr>
        <w:spacing w:before="40" w:after="40"/>
      </w:pPr>
      <w:r>
        <w:rPr>
          <w:rFonts w:ascii="Arial" w:cs="Arial" w:eastAsia="Arial" w:hAnsi="Arial"/>
          <w:b w:val="true"/>
          <w:bCs w:val="true"/>
          <w:color w:val="000000"/>
          <w:sz w:val="18"/>
          <w:szCs w:val="18"/>
        </w:rPr>
        <w:t xml:space="preserve">Krypton Isp penalty (15% lower, 1.5–2× wall erosion): </w:t>
      </w:r>
      <w:r>
        <w:rPr>
          <w:rFonts w:ascii="Arial" w:cs="Arial" w:eastAsia="Arial" w:hAnsi="Arial"/>
          <w:b w:val="E"/>
          <w:bCs w:val="E"/>
          <w:color w:val="000000"/>
          <w:sz w:val="18"/>
          <w:szCs w:val="18"/>
        </w:rPr>
        <w:t xml:space="preserve">S</w:t>
      </w:r>
    </w:p>
    <w:p>
      <w:pPr>
        <w:pStyle w:val="ListParagraph"/>
        <w:numPr>
          <w:ilvl w:val="0"/>
          <w:numId w:val="2"/>
        </w:numPr>
        <w:spacing w:before="40" w:after="40"/>
      </w:pPr>
      <w:r>
        <w:rPr>
          <w:rFonts w:ascii="Arial" w:cs="Arial" w:eastAsia="Arial" w:hAnsi="Arial"/>
          <w:b w:val="true"/>
          <w:bCs w:val="true"/>
          <w:color w:val="000000"/>
          <w:sz w:val="18"/>
          <w:szCs w:val="18"/>
        </w:rPr>
        <w:t xml:space="preserve">Air Liquide South Korea Kr/Xe plant: </w:t>
      </w:r>
      <w:r>
        <w:rPr>
          <w:rFonts w:ascii="Arial" w:cs="Arial" w:eastAsia="Arial" w:hAnsi="Arial"/>
          <w:b w:val="i"/>
          <w:bCs w:val="i"/>
          <w:color w:val="000000"/>
          <w:sz w:val="18"/>
          <w:szCs w:val="18"/>
        </w:rPr>
        <w:t xml:space="preserve">A</w:t>
      </w:r>
    </w:p>
    <w:p>
      <w:pPr>
        <w:pStyle w:val="ListParagraph"/>
        <w:numPr>
          <w:ilvl w:val="0"/>
          <w:numId w:val="2"/>
        </w:numPr>
        <w:spacing w:before="40" w:after="40"/>
      </w:pPr>
      <w:r>
        <w:rPr>
          <w:rFonts w:ascii="Arial" w:cs="Arial" w:eastAsia="Arial" w:hAnsi="Arial"/>
          <w:b w:val="true"/>
          <w:bCs w:val="true"/>
          <w:color w:val="000000"/>
          <w:sz w:val="18"/>
          <w:szCs w:val="18"/>
        </w:rPr>
        <w:t xml:space="preserve">China REE export restriction precedent: </w:t>
      </w:r>
      <w:r>
        <w:rPr>
          <w:rFonts w:ascii="Arial" w:cs="Arial" w:eastAsia="Arial" w:hAnsi="Arial"/>
          <w:b w:val="h"/>
          <w:bCs w:val="h"/>
          <w:color w:val="000000"/>
          <w:sz w:val="18"/>
          <w:szCs w:val="18"/>
        </w:rPr>
        <w:t xml:space="preserve">C</w:t>
      </w:r>
    </w:p>
    <w:p>
      <w:pPr>
        <w:pStyle w:val="ListParagraph"/>
        <w:numPr>
          <w:ilvl w:val="0"/>
          <w:numId w:val="2"/>
        </w:numPr>
        <w:spacing w:before="40" w:after="40"/>
      </w:pPr>
      <w:r>
        <w:rPr>
          <w:rFonts w:ascii="Arial" w:cs="Arial" w:eastAsia="Arial" w:hAnsi="Arial"/>
          <w:b w:val="true"/>
          <w:bCs w:val="true"/>
          <w:color w:val="000000"/>
          <w:sz w:val="18"/>
          <w:szCs w:val="18"/>
        </w:rPr>
        <w:t xml:space="preserve">SmCo/NdFeB supply chain analysis: </w:t>
      </w:r>
      <w:r>
        <w:rPr>
          <w:rFonts w:ascii="Arial" w:cs="Arial" w:eastAsia="Arial" w:hAnsi="Arial"/>
          <w:b w:val="S"/>
          <w:bCs w:val="S"/>
          <w:color w:val="000000"/>
          <w:sz w:val="18"/>
          <w:szCs w:val="18"/>
        </w:rPr>
        <w:t xml:space="preserve">U</w:t>
      </w:r>
    </w:p>
    <w:p>
      <w:pPr>
        <w:spacing w:before="160" w:after="0"/>
      </w:pPr>
    </w:p>
    <w:p>
      <w:pPr>
        <w:pStyle w:val="Heading1"/>
        <w:pBdr>
          <w:bottom w:val="single" w:color="2E75B6" w:sz="6" w:space="4"/>
        </w:pBdr>
        <w:spacing w:before="280" w:after="120"/>
      </w:pPr>
      <w:r>
        <w:rPr>
          <w:rFonts w:ascii="Arial" w:cs="Arial" w:eastAsia="Arial" w:hAnsi="Arial"/>
          <w:b/>
          <w:bCs/>
          <w:color w:val="1B2A4A"/>
          <w:sz w:val="28"/>
          <w:szCs w:val="28"/>
        </w:rPr>
        <w:t xml:space="preserve">7.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1200"/>
        <w:gridCol w:w="1560"/>
        <w:gridCol w:w="2200"/>
      </w:tblGrid>
      <w:tr>
        <w:trPr>
          <w:tblHeader/>
        </w:trPr>
        <w:tc>
          <w:tcPr>
            <w:tcW w:type="dxa" w:w="36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8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1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56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w:t>
            </w:r>
          </w:p>
        </w:tc>
        <w:tc>
          <w:tcPr>
            <w:tcW w:type="dxa" w:w="2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Changes</w:t>
            </w:r>
          </w:p>
        </w:tc>
      </w:tr>
      <w:tr>
        <w:tc>
          <w:tcPr>
            <w:tcW w:type="dxa" w:w="3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02_Space_Satellite_Propulsion_Risk_2026</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v1.0</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March 2026</w:t>
            </w:r>
          </w:p>
        </w:tc>
        <w:tc>
          <w:tcPr>
            <w:tcW w:type="dxa" w:w="15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Emre Yusuf</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Initial release</w:t>
            </w:r>
          </w:p>
        </w:tc>
      </w:tr>
      <w:tr>
        <w:tc>
          <w:tcPr>
            <w:tcW w:type="dxa" w:w="3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02_Space_Satellite_Propulsion_Risk_2026</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v1.1</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March 2026</w:t>
            </w:r>
          </w:p>
        </w:tc>
        <w:tc>
          <w:tcPr>
            <w:tcW w:type="dxa" w:w="15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Emre Yusuf</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Xenon fractionation bottleneck analysis added (distillation vs production distinction); all 3 xenon suppliers named with ASU location details; SmCo cascade timeline quantified; krypton vs xenon ROI table added with verified 2025 pricing; all data sources cited. Author: Emre Yusuf</w:t>
            </w:r>
          </w:p>
        </w:tc>
      </w:tr>
    </w:tbl>
    <w:p>
      <w:pPr>
        <w:spacing w:before="80" w:after="0"/>
      </w:pPr>
    </w:p>
    <w:p>
      <w:pPr>
        <w:spacing w:before="60" w:after="60"/>
        <w:jc w:val="center"/>
      </w:pPr>
      <w:r>
        <w:rPr>
          <w:rFonts w:ascii="Arial" w:cs="Arial" w:eastAsia="Arial" w:hAnsi="Arial"/>
          <w:b w:val="false"/>
          <w:bCs w:val="false"/>
          <w:color w:val="7F7F7F"/>
          <w:sz w:val="16"/>
          <w:szCs w:val="16"/>
        </w:rPr>
        <w:t xml:space="preserve">© 2026 Emre Yusuf. All rights reserved.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4" w:space="2"/>
      </w:pBdr>
      <w:tabs>
        <w:tab w:val="center" w:pos="4680"/>
        <w:tab w:val="right" w:pos="9026"/>
      </w:tabs>
      <w:spacing w:before="60" w:after="0"/>
    </w:pPr>
    <w:r>
      <w:rPr>
        <w:rFonts w:ascii="Arial" w:cs="Arial" w:eastAsia="Arial" w:hAnsi="Arial"/>
        <w:b w:val="false"/>
        <w:bCs w:val="false"/>
        <w:color w:val="7F7F7F"/>
        <w:sz w:val="14"/>
        <w:szCs w:val="14"/>
      </w:rPr>
      <w:t xml:space="preserve">Author: Emre Yusuf  |  RESTRICTED — COMMERCIAL IN CONFIDENCE  |  v1.1</w:t>
    </w:r>
    <w:r>
      <w:rPr>
        <w:rFonts w:ascii="Arial" w:cs="Arial" w:eastAsia="Arial" w:hAnsi="Arial"/>
        <w:b w:val="false"/>
        <w:bCs w:val="false"/>
        <w:color w:val="000000"/>
        <w:sz w:val="14"/>
        <w:szCs w:val="14"/>
      </w:rPr>
      <w:t xml:space="preserve">	</w:t>
    </w:r>
    <w:r>
      <w:rPr>
        <w:rFonts w:ascii="Arial" w:cs="Arial" w:eastAsia="Arial" w:hAnsi="Arial"/>
        <w:b w:val="false"/>
        <w:bCs w:val="false"/>
        <w:color w:val="7F7F7F"/>
        <w:sz w:val="14"/>
        <w:szCs w:val="14"/>
      </w:rPr>
      <w:t xml:space="preserve">Page </w:t>
    </w:r>
    <w:r>
      <w:rPr>
        <w:rFonts w:ascii="Arial" w:cs="Arial" w:hAnsi="Arial"/>
        <w:color w:val="7F7F7F"/>
        <w:sz w:val="14"/>
        <w:szCs w:val="14"/>
      </w:rPr>
      <w:fldChar w:fldCharType="begin"/>
    </w:r>
    <w:r>
      <w:rPr>
        <w:rFonts w:ascii="Arial" w:cs="Arial" w:hAnsi="Arial"/>
        <w:color w:val="7F7F7F"/>
        <w:sz w:val="14"/>
        <w:szCs w:val="14"/>
      </w:rPr>
      <w:instrText xml:space="preserve"> PAGE </w:instrText>
    </w:r>
    <w:r>
      <w:rPr>
        <w:rFonts w:ascii="Arial" w:cs="Arial" w:hAnsi="Arial"/>
        <w:color w:val="7F7F7F"/>
        <w:sz w:val="14"/>
        <w:szCs w:val="14"/>
      </w:rPr>
      <w:fldChar w:fldCharType="end"/>
    </w:r>
    <w:r>
      <w:rPr>
        <w:rFonts w:ascii="Arial" w:cs="Arial" w:eastAsia="Arial" w:hAnsi="Arial"/>
        <w:b w:val="false"/>
        <w:bCs w:val="false"/>
        <w:color w:val="7F7F7F"/>
        <w:sz w:val="14"/>
        <w:szCs w:val="14"/>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tabs>
        <w:tab w:val="right" w:pos="9026"/>
      </w:tabs>
      <w:spacing w:before="0" w:after="60"/>
    </w:pPr>
    <w:r>
      <w:rPr>
        <w:rFonts w:ascii="Arial" w:cs="Arial" w:eastAsia="Arial" w:hAnsi="Arial"/>
        <w:b/>
        <w:bCs/>
        <w:color w:val="1B2A4A"/>
        <w:sz w:val="16"/>
        <w:szCs w:val="16"/>
      </w:rPr>
      <w:t xml:space="preserve">2026 STRATEGIC RISK INTELLIGENCE SUITE  ·  SPACE SYSTEMS</w:t>
    </w:r>
    <w:r>
      <w:rPr>
        <w:rFonts w:ascii="Arial" w:cs="Arial" w:eastAsia="Arial" w:hAnsi="Arial"/>
        <w:b w:val="false"/>
        <w:bCs w:val="false"/>
        <w:color w:val="595959"/>
        <w:sz w:val="16"/>
        <w:szCs w:val="16"/>
      </w:rPr>
      <w:t xml:space="preserve">	Satellite Propulsion Supply Chain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2A4A"/>
      <w:sz w:val="28"/>
      <w:szCs w:val="28"/>
    </w:rPr>
  </w:style>
  <w:style w:type="paragraph" w:styleId="Heading2">
    <w:name w:val="Heading 2"/>
    <w:basedOn w:val="Normal"/>
    <w:next w:val="Normal"/>
    <w:qFormat/>
    <w:pPr>
      <w:spacing w:before="180" w:after="8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2026-03-25T10:27:57.962Z</dcterms:created>
  <dcterms:modified xsi:type="dcterms:W3CDTF">2026-03-25T10:27:57.962Z</dcterms:modified>
</cp:coreProperties>
</file>

<file path=docProps/custom.xml><?xml version="1.0" encoding="utf-8"?>
<Properties xmlns="http://schemas.openxmlformats.org/officeDocument/2006/custom-properties" xmlns:vt="http://schemas.openxmlformats.org/officeDocument/2006/docPropsVTypes"/>
</file>