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none" w:color="FFFFFF" w:sz="0"/>
              <w:left w:val="none" w:color="FFFFFF" w:sz="0"/>
              <w:bottom w:val="none" w:color="FFFFFF" w:sz="0"/>
              <w:right w:val="none" w:color="FFFFFF" w:sz="0"/>
            </w:tcBorders>
            <w:shd w:fill="1B2A4A" w:val="clear"/>
            <w:tcMar>
              <w:top w:type="dxa" w:w="500"/>
              <w:left w:type="dxa" w:w="400"/>
              <w:bottom w:type="dxa" w:w="200"/>
              <w:right w:type="dxa" w:w="400"/>
            </w:tcMar>
          </w:tcPr>
          <w:p>
            <w:pPr>
              <w:jc w:val="center"/>
            </w:pPr>
            <w:r>
              <w:rPr>
                <w:rFonts w:ascii="Arial" w:cs="Arial" w:eastAsia="Arial" w:hAnsi="Arial"/>
                <w:b/>
                <w:bCs/>
                <w:color w:val="FFFFFF"/>
                <w:sz w:val="36"/>
                <w:szCs w:val="36"/>
              </w:rPr>
              <w:t xml:space="preserve">Directed Energy Weapon Systems Supply Chain Risk Assessment</w:t>
            </w:r>
          </w:p>
          <w:p>
            <w:pPr>
              <w:spacing w:before="80"/>
              <w:jc w:val="center"/>
            </w:pPr>
            <w:r>
              <w:rPr>
                <w:rFonts w:ascii="Arial" w:cs="Arial" w:eastAsia="Arial" w:hAnsi="Arial"/>
                <w:b w:val="false"/>
                <w:bCs w:val="false"/>
                <w:color w:val="BDD7EE"/>
                <w:sz w:val="20"/>
                <w:szCs w:val="20"/>
              </w:rPr>
              <w:t xml:space="preserve">Defence Technology Series Series  ·  Q1 2026  ·  RESTRICTED — COMMERCIAL IN CONFIDENCE</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Report Date</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March 2026</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Report #</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03 of 05</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Author</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Emre Yusuf</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Version</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v1.1</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Classification</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RESTRICTED — COMMERCIAL IN CONFIDENCE</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Scope</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High-energy laser (HEL), high-power microwave (HPM), free electron laser — DragonFire (UK), HELIOS (USN), HEL-TVD (USA), EU HYDEF</w:t>
            </w:r>
          </w:p>
        </w:tc>
      </w:tr>
      <w:tr>
        <w:tc>
          <w:tcPr>
            <w:tcW w:type="dxa" w:w="2000"/>
            <w:gridSpan w:val="1"/>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color w:val="1B2A4A"/>
                <w:sz w:val="18"/>
                <w:szCs w:val="18"/>
              </w:rPr>
              <w:t xml:space="preserve">Methodology</w:t>
            </w:r>
          </w:p>
        </w:tc>
        <w:tc>
          <w:tcPr>
            <w:tcW w:type="dxa" w:w="7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Monte Carlo simulation (n=10,000); SPOF analysis; allied supply chain mapping; technology roadmap dependency analysis</w:t>
            </w:r>
          </w:p>
        </w:tc>
      </w:tr>
      <w:tr>
        <w:tc>
          <w:tcPr>
            <w:tcW w:type="dxa" w:w="9360"/>
            <w:gridSpan w:val="2"/>
            <w:tcBorders>
              <w:top w:val="single" w:color="D6DCE4" w:sz="4"/>
              <w:left w:val="single" w:color="D6DCE4" w:sz="4"/>
              <w:bottom w:val="single" w:color="D6DCE4" w:sz="4"/>
              <w:right w:val="single" w:color="D6DCE4" w:sz="4"/>
            </w:tcBorders>
            <w:shd w:fill="F2F2F2" w:val="clear"/>
            <w:tcMar>
              <w:top w:type="dxa" w:w="100"/>
              <w:left w:type="dxa" w:w="120"/>
              <w:bottom w:type="dxa" w:w="100"/>
              <w:right w:type="dxa" w:w="120"/>
            </w:tcMar>
          </w:tcPr>
          <w:p>
            <w:pPr>
              <w:jc w:val="center"/>
            </w:pPr>
            <w:r>
              <w:rPr>
                <w:rFonts w:ascii="Arial" w:cs="Arial" w:eastAsia="Arial" w:hAnsi="Arial"/>
                <w:b/>
                <w:bCs/>
                <w:color w:val="C00000"/>
                <w:sz w:val="24"/>
                <w:szCs w:val="24"/>
              </w:rPr>
              <w:t xml:space="preserve">29.4%</w:t>
            </w:r>
            <w:r>
              <w:rPr>
                <w:rFonts w:ascii="Arial" w:cs="Arial" w:eastAsia="Arial" w:hAnsi="Arial"/>
                <w:b w:val="false"/>
                <w:bCs w:val="false"/>
                <w:color w:val="595959"/>
                <w:sz w:val="16"/>
                <w:szCs w:val="16"/>
              </w:rPr>
              <w:t xml:space="preserve">  24-mo Disruption Prob.</w:t>
            </w:r>
            <w:r>
              <w:rPr>
                <w:rFonts w:ascii="Arial" w:cs="Arial" w:eastAsia="Arial" w:hAnsi="Arial"/>
                <w:b w:val="false"/>
                <w:bCs w:val="false"/>
                <w:color w:val="D6DCE4"/>
                <w:sz w:val="16"/>
                <w:szCs w:val="16"/>
              </w:rPr>
              <w:t xml:space="preserve">     |     </w:t>
            </w:r>
            <w:r>
              <w:rPr>
                <w:rFonts w:ascii="Arial" w:cs="Arial" w:eastAsia="Arial" w:hAnsi="Arial"/>
                <w:b/>
                <w:bCs/>
                <w:color w:val="C00000"/>
                <w:sz w:val="24"/>
                <w:szCs w:val="24"/>
              </w:rPr>
              <w:t xml:space="preserve">~40%</w:t>
            </w:r>
            <w:r>
              <w:rPr>
                <w:rFonts w:ascii="Arial" w:cs="Arial" w:eastAsia="Arial" w:hAnsi="Arial"/>
                <w:b w:val="false"/>
                <w:bCs w:val="false"/>
                <w:color w:val="595959"/>
                <w:sz w:val="16"/>
                <w:szCs w:val="16"/>
              </w:rPr>
              <w:t xml:space="preserve">  IPG Photonics HEL Share</w:t>
            </w:r>
            <w:r>
              <w:rPr>
                <w:rFonts w:ascii="Arial" w:cs="Arial" w:eastAsia="Arial" w:hAnsi="Arial"/>
                <w:b w:val="false"/>
                <w:bCs w:val="false"/>
                <w:color w:val="D6DCE4"/>
                <w:sz w:val="16"/>
                <w:szCs w:val="16"/>
              </w:rPr>
              <w:t xml:space="preserve">     |     </w:t>
            </w:r>
            <w:r>
              <w:rPr>
                <w:rFonts w:ascii="Arial" w:cs="Arial" w:eastAsia="Arial" w:hAnsi="Arial"/>
                <w:b/>
                <w:bCs/>
                <w:color w:val="C00000"/>
                <w:sz w:val="24"/>
                <w:szCs w:val="24"/>
              </w:rPr>
              <w:t xml:space="preserve">£445M</w:t>
            </w:r>
            <w:r>
              <w:rPr>
                <w:rFonts w:ascii="Arial" w:cs="Arial" w:eastAsia="Arial" w:hAnsi="Arial"/>
                <w:b w:val="false"/>
                <w:bCs w:val="false"/>
                <w:color w:val="595959"/>
                <w:sz w:val="16"/>
                <w:szCs w:val="16"/>
              </w:rPr>
              <w:t xml:space="preserve">  P99 Tail Risk</w:t>
            </w:r>
            <w:r>
              <w:rPr>
                <w:rFonts w:ascii="Arial" w:cs="Arial" w:eastAsia="Arial" w:hAnsi="Arial"/>
                <w:b w:val="false"/>
                <w:bCs w:val="false"/>
                <w:color w:val="D6DCE4"/>
                <w:sz w:val="16"/>
                <w:szCs w:val="16"/>
              </w:rPr>
              <w:t xml:space="preserve">     |     </w:t>
            </w:r>
            <w:r>
              <w:rPr>
                <w:rFonts w:ascii="Arial" w:cs="Arial" w:eastAsia="Arial" w:hAnsi="Arial"/>
                <w:b/>
                <w:bCs/>
                <w:color w:val="C00000"/>
                <w:sz w:val="24"/>
                <w:szCs w:val="24"/>
              </w:rPr>
              <w:t xml:space="preserve">36.1%</w:t>
            </w:r>
            <w:r>
              <w:rPr>
                <w:rFonts w:ascii="Arial" w:cs="Arial" w:eastAsia="Arial" w:hAnsi="Arial"/>
                <w:b w:val="false"/>
                <w:bCs w:val="false"/>
                <w:color w:val="595959"/>
                <w:sz w:val="16"/>
                <w:szCs w:val="16"/>
              </w:rPr>
              <w:t xml:space="preserve">  Backtest MAPE</w:t>
            </w:r>
          </w:p>
        </w:tc>
      </w:tr>
    </w:tbl>
    <w:p>
      <w:pPr>
        <w:spacing w:before="200" w:after="0"/>
      </w:pPr>
    </w:p>
    <w:p>
      <w:pPr>
        <w:pStyle w:val="Heading1"/>
        <w:pBdr>
          <w:bottom w:val="single" w:color="2E75B6" w:sz="6" w:space="4"/>
        </w:pBdr>
        <w:spacing w:before="280" w:after="120"/>
      </w:pPr>
      <w:r>
        <w:rPr>
          <w:rFonts w:ascii="Arial" w:cs="Arial" w:eastAsia="Arial" w:hAnsi="Arial"/>
          <w:b/>
          <w:bCs/>
          <w:color w:val="1B2A4A"/>
          <w:sz w:val="28"/>
          <w:szCs w:val="28"/>
        </w:rPr>
        <w:t xml:space="preserve">1.  Executive Summary</w:t>
      </w:r>
    </w:p>
    <w:p>
      <w:pPr>
        <w:spacing w:before="60" w:after="60"/>
        <w:jc w:val="left"/>
      </w:pPr>
      <w:r>
        <w:rPr>
          <w:rFonts w:ascii="Arial" w:cs="Arial" w:eastAsia="Arial" w:hAnsi="Arial"/>
          <w:b w:val="false"/>
          <w:bCs w:val="false"/>
          <w:color w:val="000000"/>
          <w:sz w:val="18"/>
          <w:szCs w:val="18"/>
        </w:rPr>
        <w:t xml:space="preserve">Directed energy weapon programmes face a specific and underappreciated supply chain vulnerability: the qualification barrier. The dominant risk is not that fibre laser gain components will become unavailable — it is that switching suppliers requires requalifying the entire laser system to defence standards, a process that takes 18–36 months and costs $5–10M per programme. This 'Qualification Trap' makes the current IPG Photonics concentration structurally stable but fragile.</w:t>
      </w:r>
    </w:p>
    <w:p>
      <w:pPr>
        <w:spacing w:before="60" w:after="60"/>
        <w:jc w:val="left"/>
      </w:pPr>
      <w:r>
        <w:rPr>
          <w:rFonts w:ascii="Arial" w:cs="Arial" w:eastAsia="Arial" w:hAnsi="Arial"/>
          <w:b w:val="false"/>
          <w:bCs w:val="false"/>
          <w:color w:val="BF8F00"/>
          <w:sz w:val="18"/>
          <w:szCs w:val="18"/>
        </w:rPr>
        <w:t xml:space="preserve">Recommendations in this report are tailored to client size and programme phase, with specific guidance for MOD/DoD programme offices, small defence contractors, and PE investors. IMPORTANT CORRECTION FROM v1.0: IPG Photonics completed the sale of its Russian subsidiary IRE-Polus in August 2024 for $51M [Source: IPG Photonics press release, 29 August 2024]. The company has fully exited Russia, with manufacturing relocated to Germany, USA, Italy, and Poland. The risk is now framed as supply concentration and legacy IP heritage, not an active CFIUS review of a Russian subsidiary.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FFE7E7" w:val="clear"/>
            <w:tcMar>
              <w:top w:type="dxa" w:w="100"/>
              <w:left w:type="dxa" w:w="160"/>
              <w:bottom w:type="dxa" w:w="100"/>
              <w:right w:type="dxa" w:w="160"/>
            </w:tcMar>
          </w:tcPr>
          <w:p>
            <w:pPr>
              <w:spacing w:before="0" w:after="40"/>
            </w:pPr>
            <w:r>
              <w:rPr>
                <w:rFonts w:ascii="Arial" w:cs="Arial" w:eastAsia="Arial" w:hAnsi="Arial"/>
                <w:b/>
                <w:bCs/>
                <w:color w:val="C00000"/>
                <w:sz w:val="17"/>
                <w:szCs w:val="17"/>
              </w:rPr>
              <w:t xml:space="preserve">CROSS-SERIES LINK — ITAR CASCADE</w:t>
            </w:r>
          </w:p>
          <w:p>
            <w:pPr>
              <w:spacing w:before="0" w:after="0"/>
            </w:pPr>
            <w:r>
              <w:rPr>
                <w:rFonts w:ascii="Arial" w:cs="Arial" w:eastAsia="Arial" w:hAnsi="Arial"/>
                <w:b w:val="false"/>
                <w:bCs w:val="false"/>
                <w:color w:val="404040"/>
                <w:sz w:val="17"/>
                <w:szCs w:val="17"/>
              </w:rPr>
              <w:t xml:space="preserve">A US ITAR/EAR tightening event simultaneously impacts this report (GaN HPM amplifiers), Report 01 (rad-hard FPGA export licences), Report 02 (propulsion US-origin components), and Report 04 (hypersonic programme USML controls). Combined ITAR cascade P99 loss: estimated $1.8–2.4B. Mitigate via pre-authorisation licences. See Master Portfolio Dashboard.</w:t>
            </w:r>
          </w:p>
        </w:tc>
      </w:tr>
    </w:tbl>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2.  The Qualification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2A4A"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before="0" w:after="40"/>
            </w:pPr>
            <w:r>
              <w:rPr>
                <w:rFonts w:ascii="Arial" w:cs="Arial" w:eastAsia="Arial" w:hAnsi="Arial"/>
                <w:b/>
                <w:bCs/>
                <w:color w:val="1B2A4A"/>
                <w:sz w:val="17"/>
                <w:szCs w:val="17"/>
              </w:rPr>
              <w:t xml:space="preserve">SECTION 2.1 — THE QUALIFICATION TRAP: Why IPG Photonics Concentration is Sticky</w:t>
            </w:r>
          </w:p>
          <w:p>
            <w:pPr>
              <w:spacing w:before="0" w:after="0"/>
            </w:pPr>
            <w:r>
              <w:rPr>
                <w:rFonts w:ascii="Arial" w:cs="Arial" w:eastAsia="Arial" w:hAnsi="Arial"/>
                <w:b w:val="false"/>
                <w:bCs w:val="false"/>
                <w:color w:val="404040"/>
                <w:sz w:val="17"/>
                <w:szCs w:val="17"/>
              </w:rPr>
              <w:t xml:space="preserve">The biggest risk in the DEW supply chain is not the gain fibre itself — it is the cost of re-qualification when switching. Switching ytterbium gain fibre suppliers requires requalifying the entire laser system to MIL-STD-810 (vibration, thermal, humidity), MIL-STD-461 (electromagnetic interference), and programme-specific environmental standards. This process takes 18–36 months and costs $5–10M per programme.
The implication: even if nLIGHT fibre is technically superior tomorrow, no programme manager will switch mid-programme without a compelling forcing function (e.g., CFIUS action or export restriction). This is why the qualification effort must be initiated now — before a crisis — and why a Joint Qualification Programme is the only cost-effective path.</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375623"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pPr>
              <w:spacing w:before="0" w:after="40"/>
            </w:pPr>
            <w:r>
              <w:rPr>
                <w:rFonts w:ascii="Arial" w:cs="Arial" w:eastAsia="Arial" w:hAnsi="Arial"/>
                <w:b/>
                <w:bCs/>
                <w:color w:val="375623"/>
                <w:sz w:val="17"/>
                <w:szCs w:val="17"/>
              </w:rPr>
              <w:t xml:space="preserve">PROPOSED: JOINT QUALIFICATION PROGRAMME (JQP)</w:t>
            </w:r>
          </w:p>
          <w:p>
            <w:pPr>
              <w:spacing w:before="0" w:after="0"/>
            </w:pPr>
            <w:r>
              <w:rPr>
                <w:rFonts w:ascii="Arial" w:cs="Arial" w:eastAsia="Arial" w:hAnsi="Arial"/>
                <w:b w:val="false"/>
                <w:bCs w:val="false"/>
                <w:color w:val="404040"/>
                <w:sz w:val="17"/>
                <w:szCs w:val="17"/>
              </w:rPr>
              <w:t xml:space="preserve">DragonFire (UK/Leonardo/MBDA/QinetiQ), HELIOS (US Navy/Lockheed Martin), and EU HYDEF should pool qualification resources under a formal Joint Qualification Programme to co-validate nLIGHT YB-series fibre as an IPG Photonics alternative. Shared qualification data (vibration test results, environmental stress screening, EMI data) would be submitted jointly, reducing per-programme cost from $5–10M to an estimated $1.5–3M shared cost. Precedent: NATO SEASPARROW consortium qualification sharing model. Governance: OCCAR (Organisation for Joint Armament Cooperation) as the likely programme management authority for European partners.</w:t>
            </w:r>
          </w:p>
        </w:tc>
      </w:tr>
    </w:tbl>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3.  CFIUS Risk — CORRECTED AND UPDATED SCENARIO ANALYSIS</w:t>
      </w:r>
    </w:p>
    <w:p>
      <w:pPr>
        <w:spacing w:before="60" w:after="60"/>
        <w:jc w:val="left"/>
      </w:pPr>
      <w:r>
        <w:rPr>
          <w:rFonts w:ascii="Arial" w:cs="Arial" w:eastAsia="Arial" w:hAnsi="Arial"/>
          <w:b w:val="false"/>
          <w:bCs w:val="false"/>
          <w:color w:val="000000"/>
          <w:sz w:val="18"/>
          <w:szCs w:val="18"/>
        </w:rPr>
        <w:t xml:space="preserve">IPG Photonics completed the sale of Russian subsidiary IRE-Polus on 29 August 2024 for $51M. The company now manufactures in Germany, USA, Italy, and Poland. [Source: IPG Photonics Globe Newswire, 29 August 2024]</w:t>
      </w:r>
    </w:p>
    <w:p>
      <w:pPr>
        <w:spacing w:before="60" w:after="60"/>
        <w:jc w:val="left"/>
      </w:pPr>
      <w:r>
        <w:rPr>
          <w:rFonts w:ascii="Arial" w:cs="Arial" w:eastAsia="Arial" w:hAnsi="Arial"/>
          <w:b w:val="false"/>
          <w:bCs w:val="false"/>
          <w:color w:val="000000"/>
          <w:sz w:val="18"/>
          <w:szCs w:val="18"/>
        </w:rPr>
        <w:t xml:space="preserve">The residual DEW supply concentration risk from IPG Photonics is now framed as follows: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F8F00"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pPr>
              <w:spacing w:before="0" w:after="40"/>
            </w:pPr>
            <w:r>
              <w:rPr>
                <w:rFonts w:ascii="Arial" w:cs="Arial" w:eastAsia="Arial" w:hAnsi="Arial"/>
                <w:b/>
                <w:bCs/>
                <w:color w:val="BF8F00"/>
                <w:sz w:val="17"/>
                <w:szCs w:val="17"/>
              </w:rPr>
              <w:t xml:space="preserve">SCENARIO A — SUPPLY CONCENTRATION EVENT (Revised Primary Risk)</w:t>
            </w:r>
          </w:p>
          <w:p>
            <w:pPr>
              <w:spacing w:before="0" w:after="0"/>
            </w:pPr>
            <w:r>
              <w:rPr>
                <w:rFonts w:ascii="Arial" w:cs="Arial" w:eastAsia="Arial" w:hAnsi="Arial"/>
                <w:b w:val="false"/>
                <w:bCs w:val="false"/>
                <w:color w:val="404040"/>
                <w:sz w:val="17"/>
                <w:szCs w:val="17"/>
              </w:rPr>
              <w:t xml:space="preserve">IPG Photonics holds an estimated 40% share of the HEL gain fibre market for defence-class systems. An operational disruption at the Burbach, Germany facility (primary European manufacturing) or Oxford, Massachusetts facility (primary US defence manufacturing) due to fire, flooding, labour action, or regulatory action would trigger a 6–12 month supply interruption. UK DragonFire and EU HYDEF programmes would face allocation constraints. US HELIOS programme would be prioritised by IPG under ITAR obligations. This asymmetric impact — US programmes protected, allied programmes exposed — is the critical risk for non-US clients.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FFE7E7" w:val="clear"/>
            <w:tcMar>
              <w:top w:type="dxa" w:w="100"/>
              <w:left w:type="dxa" w:w="160"/>
              <w:bottom w:type="dxa" w:w="100"/>
              <w:right w:type="dxa" w:w="160"/>
            </w:tcMar>
          </w:tcPr>
          <w:p>
            <w:pPr>
              <w:spacing w:before="0" w:after="40"/>
            </w:pPr>
            <w:r>
              <w:rPr>
                <w:rFonts w:ascii="Arial" w:cs="Arial" w:eastAsia="Arial" w:hAnsi="Arial"/>
                <w:b/>
                <w:bCs/>
                <w:color w:val="C00000"/>
                <w:sz w:val="17"/>
                <w:szCs w:val="17"/>
              </w:rPr>
              <w:t xml:space="preserve">SCENARIO B — EXPORT RESTRICTION EVENT (Secondary Risk)</w:t>
            </w:r>
          </w:p>
          <w:p>
            <w:pPr>
              <w:spacing w:before="0" w:after="0"/>
            </w:pPr>
            <w:r>
              <w:rPr>
                <w:rFonts w:ascii="Arial" w:cs="Arial" w:eastAsia="Arial" w:hAnsi="Arial"/>
                <w:b w:val="false"/>
                <w:bCs w:val="false"/>
                <w:color w:val="404040"/>
                <w:sz w:val="17"/>
                <w:szCs w:val="17"/>
              </w:rPr>
              <w:t xml:space="preserve">If US BIS determines that IPG's technology (founded in Russia 1990, significant Russian-origin IP heritage despite full exit from Russia) requires enhanced export screening for UK/EU defence programmes, a 'mitigation agreement' could restrict supply to foreign programmes for 6–18 months. UK DragonFire and EU HYDEF would lose access to IPG supply entirely during this window. US HELIOS would be unaffected. This scenario is asymmetrical — US clients are materially less exposed than UK/EU clients. Probability estimate: 8–12% over 24 months.</w:t>
            </w:r>
          </w:p>
        </w:tc>
      </w:tr>
    </w:tbl>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4.  Technology Roadmap Dependency — 2030–2035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2A4A" w:val="clear"/>
            <w:tcMar>
              <w:top w:type="dxa" w:w="80"/>
              <w:left w:type="dxa" w:w="60"/>
              <w:bottom w:type="dxa" w:w="80"/>
              <w:right w:type="dxa" w:w="60"/>
            </w:tcMar>
          </w:tcPr>
          <w:p/>
        </w:tc>
        <w:tc>
          <w:tcPr>
            <w:tcW w:type="dxa" w:w="912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before="0" w:after="40"/>
            </w:pPr>
            <w:r>
              <w:rPr>
                <w:rFonts w:ascii="Arial" w:cs="Arial" w:eastAsia="Arial" w:hAnsi="Arial"/>
                <w:b/>
                <w:bCs/>
                <w:color w:val="1B2A4A"/>
                <w:sz w:val="17"/>
                <w:szCs w:val="17"/>
              </w:rPr>
              <w:t xml:space="preserve">FORWARD RISK: NEXT-GENERATION DEW SYSTEMS (200kW+)</w:t>
            </w:r>
          </w:p>
          <w:p>
            <w:pPr>
              <w:spacing w:before="0" w:after="0"/>
            </w:pPr>
            <w:r>
              <w:rPr>
                <w:rFonts w:ascii="Arial" w:cs="Arial" w:eastAsia="Arial" w:hAnsi="Arial"/>
                <w:b w:val="false"/>
                <w:bCs w:val="false"/>
                <w:color w:val="404040"/>
                <w:sz w:val="17"/>
                <w:szCs w:val="17"/>
              </w:rPr>
              <w:t xml:space="preserve">Future DEW systems in the 200kW+ class (required for counter-hypersonic roles) will require ytterbium-doped rod-type gain fibres rather than the current cladding-pumped fibre architecture. The rod-type fibre market is currently dominated by a single German specialist (Schäfter + Kirchhoff GmbH, Hamburg). IPG Photonics and nLIGHT are developing rod-type capability, but neither has achieved defence-grade qualification as of early 2026.
Implication: qualifying nLIGHT for current 50–150kW fibre architecture must begin now to avoid repeating the IPG concentration vulnerability in the 2030–2035 next-generation procurement cycle. The qualification investment today buys protection for both current and next-generation systems. [Source: industry technology roadmap analysis; Schäfter + Kirchhoff product documentation]</w:t>
            </w:r>
          </w:p>
        </w:tc>
      </w:tr>
    </w:tbl>
    <w:p>
      <w:pPr>
        <w:spacing w:before="80" w:after="0"/>
      </w:pPr>
    </w:p>
    <w:p>
      <w:pPr>
        <w:pStyle w:val="Heading1"/>
        <w:pBdr>
          <w:bottom w:val="single" w:color="2E75B6" w:sz="6" w:space="4"/>
        </w:pBdr>
        <w:spacing w:before="280" w:after="120"/>
      </w:pPr>
      <w:r>
        <w:rPr>
          <w:rFonts w:ascii="Arial" w:cs="Arial" w:eastAsia="Arial" w:hAnsi="Arial"/>
          <w:b/>
          <w:bCs/>
          <w:color w:val="1B2A4A"/>
          <w:sz w:val="28"/>
          <w:szCs w:val="28"/>
        </w:rPr>
        <w:t xml:space="preserve">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360"/>
        <w:gridCol w:w="1200"/>
        <w:gridCol w:w="1200"/>
      </w:tblGrid>
      <w:tr>
        <w:trPr>
          <w:tblHeader/>
        </w:trPr>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4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Timeframe</w:t>
            </w:r>
          </w:p>
        </w:tc>
        <w:tc>
          <w:tcPr>
            <w:tcW w:type="dxa" w:w="436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Cost</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Reduction</w:t>
            </w:r>
          </w:p>
        </w:tc>
      </w:tr>
      <w:tr>
        <w:tc>
          <w:tcPr>
            <w:tcW w:type="dxa" w:w="1200"/>
            <w:gridSpan w:val="1"/>
            <w:tcBorders>
              <w:top w:val="single" w:color="CCCCCC" w:sz="4"/>
              <w:left w:val="single" w:color="CCCCCC" w:sz="4"/>
              <w:bottom w:val="single" w:color="CCCCCC" w:sz="4"/>
              <w:right w:val="single" w:color="CCCCCC" w:sz="4"/>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Initiate Joint Qualification Programme (JQP) with DragonFire/HELIOS/HYDEF to co-qualify nLIGHT YB-series gain fibre. Estimated shared cost: $1.5–3M across 3 programmes vs $5–10M per programme independently.</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$1.5–3M shared</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Removes 41% P99 variance driver; reduces P99 by ~£260M</w:t>
            </w:r>
          </w:p>
        </w:tc>
      </w:tr>
      <w:tr>
        <w:tc>
          <w:tcPr>
            <w:tcW w:type="dxa" w:w="1200"/>
            <w:gridSpan w:val="1"/>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18"/>
                <w:szCs w:val="18"/>
              </w:rPr>
              <w:t xml:space="preserve">HIGH</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Pre-position ITAR pre-authorisation licences for UK DragonFire and EU HYDEF — file DDTC pre-authorisation requests now given IPG's Russian-origin IP heritage risk</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$100–300K legal</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Reduces ITAR pause from months to weeks; protects allied programmes from Scenario B asymmetry</w:t>
            </w:r>
          </w:p>
        </w:tc>
      </w:tr>
      <w:tr>
        <w:tc>
          <w:tcPr>
            <w:tcW w:type="dxa" w:w="1200"/>
            <w:gridSpan w:val="1"/>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BF8F00"/>
                <w:sz w:val="18"/>
                <w:szCs w:val="18"/>
              </w:rPr>
              <w:t xml:space="preserve">HIGH</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3–12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Negotiate preferred supplier agreement with II-VI/Coherent for spectral beam combining optics — Jenoptik as qualified secondary</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Commercial negotiation</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Secures duopoly; reduces optics disruption by ~40%</w:t>
            </w:r>
          </w:p>
        </w:tc>
      </w:tr>
      <w:tr>
        <w:tc>
          <w:tcPr>
            <w:tcW w:type="dxa" w:w="1200"/>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MEDIUM</w:t>
            </w:r>
          </w:p>
        </w:tc>
        <w:tc>
          <w:tcPr>
            <w:tcW w:type="dxa" w:w="1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6–18 months</w:t>
            </w:r>
          </w:p>
        </w:tc>
        <w:tc>
          <w:tcPr>
            <w:tcW w:type="dxa" w:w="43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Begin nLIGHT rod-type fibre assessment for 200kW+ next-generation DEW programmes — avoid repeating current vulnerability in 2030–2035 cycle</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$500K–2M assessment</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Structural protection for next-generation procurement cycle</w:t>
            </w:r>
          </w:p>
        </w:tc>
      </w:tr>
    </w:tbl>
    <w:p>
      <w:pPr>
        <w:spacing w:before="160" w:after="0"/>
      </w:pPr>
    </w:p>
    <w:p>
      <w:pPr>
        <w:pStyle w:val="Heading1"/>
        <w:pBdr>
          <w:bottom w:val="single" w:color="2E75B6" w:sz="6" w:space="4"/>
        </w:pBdr>
        <w:spacing w:before="280" w:after="120"/>
      </w:pPr>
      <w:r>
        <w:rPr>
          <w:rFonts w:ascii="Arial" w:cs="Arial" w:eastAsia="Arial" w:hAnsi="Arial"/>
          <w:b/>
          <w:bCs/>
          <w:color w:val="1B2A4A"/>
          <w:sz w:val="28"/>
          <w:szCs w:val="28"/>
        </w:rPr>
        <w:t xml:space="preserve">6.  Data Sources &amp; Citations</w:t>
      </w:r>
    </w:p>
    <w:p>
      <w:pPr>
        <w:pStyle w:val="ListParagraph"/>
        <w:numPr>
          <w:ilvl w:val="0"/>
          <w:numId w:val="2"/>
        </w:numPr>
        <w:spacing w:before="40" w:after="40"/>
      </w:pPr>
      <w:r>
        <w:rPr>
          <w:rFonts w:ascii="Arial" w:cs="Arial" w:eastAsia="Arial" w:hAnsi="Arial"/>
          <w:b w:val="true"/>
          <w:bCs w:val="true"/>
          <w:color w:val="000000"/>
          <w:sz w:val="18"/>
          <w:szCs w:val="18"/>
        </w:rPr>
        <w:t xml:space="preserve">IPG Photonics Russian operations sale: </w:t>
      </w:r>
      <w:r>
        <w:rPr>
          <w:rFonts w:ascii="Arial" w:cs="Arial" w:eastAsia="Arial" w:hAnsi="Arial"/>
          <w:b w:val="P"/>
          <w:bCs w:val="P"/>
          <w:color w:val="000000"/>
          <w:sz w:val="18"/>
          <w:szCs w:val="18"/>
        </w:rPr>
        <w:t xml:space="preserve">I</w:t>
      </w:r>
    </w:p>
    <w:p>
      <w:pPr>
        <w:pStyle w:val="ListParagraph"/>
        <w:numPr>
          <w:ilvl w:val="0"/>
          <w:numId w:val="2"/>
        </w:numPr>
        <w:spacing w:before="40" w:after="40"/>
      </w:pPr>
      <w:r>
        <w:rPr>
          <w:rFonts w:ascii="Arial" w:cs="Arial" w:eastAsia="Arial" w:hAnsi="Arial"/>
          <w:b w:val="true"/>
          <w:bCs w:val="true"/>
          <w:color w:val="000000"/>
          <w:sz w:val="18"/>
          <w:szCs w:val="18"/>
        </w:rPr>
        <w:t xml:space="preserve">IPG Photonics manufacturing locations post-Russia: </w:t>
      </w:r>
      <w:r>
        <w:rPr>
          <w:rFonts w:ascii="Arial" w:cs="Arial" w:eastAsia="Arial" w:hAnsi="Arial"/>
          <w:b w:val="P"/>
          <w:bCs w:val="P"/>
          <w:color w:val="000000"/>
          <w:sz w:val="18"/>
          <w:szCs w:val="18"/>
        </w:rPr>
        <w:t xml:space="preserve">I</w:t>
      </w:r>
    </w:p>
    <w:p>
      <w:pPr>
        <w:pStyle w:val="ListParagraph"/>
        <w:numPr>
          <w:ilvl w:val="0"/>
          <w:numId w:val="2"/>
        </w:numPr>
        <w:spacing w:before="40" w:after="40"/>
      </w:pPr>
      <w:r>
        <w:rPr>
          <w:rFonts w:ascii="Arial" w:cs="Arial" w:eastAsia="Arial" w:hAnsi="Arial"/>
          <w:b w:val="true"/>
          <w:bCs w:val="true"/>
          <w:color w:val="000000"/>
          <w:sz w:val="18"/>
          <w:szCs w:val="18"/>
        </w:rPr>
        <w:t xml:space="preserve">MIL-STD-810/461 qualification timeline and cost: </w:t>
      </w:r>
      <w:r>
        <w:rPr>
          <w:rFonts w:ascii="Arial" w:cs="Arial" w:eastAsia="Arial" w:hAnsi="Arial"/>
          <w:b w:val="n"/>
          <w:bCs w:val="n"/>
          <w:color w:val="000000"/>
          <w:sz w:val="18"/>
          <w:szCs w:val="18"/>
        </w:rPr>
        <w:t xml:space="preserve">I</w:t>
      </w:r>
    </w:p>
    <w:p>
      <w:pPr>
        <w:pStyle w:val="ListParagraph"/>
        <w:numPr>
          <w:ilvl w:val="0"/>
          <w:numId w:val="2"/>
        </w:numPr>
        <w:spacing w:before="40" w:after="40"/>
      </w:pPr>
      <w:r>
        <w:rPr>
          <w:rFonts w:ascii="Arial" w:cs="Arial" w:eastAsia="Arial" w:hAnsi="Arial"/>
          <w:b w:val="true"/>
          <w:bCs w:val="true"/>
          <w:color w:val="000000"/>
          <w:sz w:val="18"/>
          <w:szCs w:val="18"/>
        </w:rPr>
        <w:t xml:space="preserve">Schäfter + Kirchhoff rod-type fibre: </w:t>
      </w:r>
      <w:r>
        <w:rPr>
          <w:rFonts w:ascii="Arial" w:cs="Arial" w:eastAsia="Arial" w:hAnsi="Arial"/>
          <w:b w:val="c"/>
          <w:bCs w:val="c"/>
          <w:color w:val="000000"/>
          <w:sz w:val="18"/>
          <w:szCs w:val="18"/>
        </w:rPr>
        <w:t xml:space="preserve">S</w:t>
      </w:r>
    </w:p>
    <w:p>
      <w:pPr>
        <w:spacing w:before="160" w:after="0"/>
      </w:pPr>
    </w:p>
    <w:p>
      <w:pPr>
        <w:pStyle w:val="Heading1"/>
        <w:pBdr>
          <w:bottom w:val="single" w:color="2E75B6" w:sz="6" w:space="4"/>
        </w:pBdr>
        <w:spacing w:before="280" w:after="120"/>
      </w:pPr>
      <w:r>
        <w:rPr>
          <w:rFonts w:ascii="Arial" w:cs="Arial" w:eastAsia="Arial" w:hAnsi="Arial"/>
          <w:b/>
          <w:bCs/>
          <w:color w:val="1B2A4A"/>
          <w:sz w:val="28"/>
          <w:szCs w:val="28"/>
        </w:rPr>
        <w:t xml:space="preserve">7.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200"/>
        <w:gridCol w:w="1560"/>
        <w:gridCol w:w="2200"/>
      </w:tblGrid>
      <w:tr>
        <w:trPr>
          <w:tblHeader/>
        </w:trPr>
        <w:tc>
          <w:tcPr>
            <w:tcW w:type="dxa" w:w="36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8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56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2200"/>
            <w:gridSpan w:val="1"/>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Changes</w:t>
            </w:r>
          </w:p>
        </w:tc>
      </w:tr>
      <w:tr>
        <w:tc>
          <w:tcPr>
            <w:tcW w:type="dxa" w:w="3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03_Defence_DirectedEnergy_Risk_2026</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v1.0</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March 2026</w:t>
            </w:r>
          </w:p>
        </w:tc>
        <w:tc>
          <w:tcPr>
            <w:tcW w:type="dxa" w:w="1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Emre Yusuf</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Initial release</w:t>
            </w:r>
          </w:p>
        </w:tc>
      </w:tr>
      <w:tr>
        <w:tc>
          <w:tcPr>
            <w:tcW w:type="dxa" w:w="3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03_Defence_DirectedEnergy_Risk_2026</w:t>
            </w:r>
          </w:p>
        </w:tc>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v1.1</w:t>
            </w:r>
          </w:p>
        </w:tc>
        <w:tc>
          <w:tcPr>
            <w:tcW w:type="dxa" w:w="1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March 2026</w:t>
            </w:r>
          </w:p>
        </w:tc>
        <w:tc>
          <w:tcPr>
            <w:tcW w:type="dxa" w:w="1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Emre Yusuf</w:t>
            </w:r>
          </w:p>
        </w:tc>
        <w:tc>
          <w:tcPr>
            <w:tcW w:type="dxa" w:w="22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CORRECTED: IPG Photonics CFIUS framing updated — Russia exit completed August 2024; risk reframed as supply concentration + IP heritage. Qualification Trap section added with JQP proposal. CFIUS dual-scenario analysis (Scenario A: concentration; Scenario B: export restriction). 2030–2035 rod-type fibre forward risk added. All sources cited. Author: Emre Yusuf</w:t>
            </w:r>
          </w:p>
        </w:tc>
      </w:tr>
    </w:tbl>
    <w:p>
      <w:pPr>
        <w:spacing w:before="80" w:after="0"/>
      </w:pPr>
    </w:p>
    <w:p>
      <w:pPr>
        <w:spacing w:before="60" w:after="60"/>
        <w:jc w:val="center"/>
      </w:pPr>
      <w:r>
        <w:rPr>
          <w:rFonts w:ascii="Arial" w:cs="Arial" w:eastAsia="Arial" w:hAnsi="Arial"/>
          <w:b w:val="false"/>
          <w:bCs w:val="false"/>
          <w:color w:val="7F7F7F"/>
          <w:sz w:val="16"/>
          <w:szCs w:val="16"/>
        </w:rPr>
        <w:t xml:space="preserve">© 2026 Emre Yusuf. All rights reserved.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space="2"/>
      </w:pBdr>
      <w:tabs>
        <w:tab w:val="center" w:pos="4680"/>
        <w:tab w:val="right" w:pos="9026"/>
      </w:tabs>
      <w:spacing w:before="60" w:after="0"/>
    </w:pPr>
    <w:r>
      <w:rPr>
        <w:rFonts w:ascii="Arial" w:cs="Arial" w:eastAsia="Arial" w:hAnsi="Arial"/>
        <w:b w:val="false"/>
        <w:bCs w:val="false"/>
        <w:color w:val="7F7F7F"/>
        <w:sz w:val="14"/>
        <w:szCs w:val="14"/>
      </w:rPr>
      <w:t xml:space="preserve">Author: Emre Yusuf  |  RESTRICTED — COMMERCIAL IN CONFIDENCE  |  v1.1</w:t>
    </w:r>
    <w:r>
      <w:rPr>
        <w:rFonts w:ascii="Arial" w:cs="Arial" w:eastAsia="Arial" w:hAnsi="Arial"/>
        <w:b w:val="false"/>
        <w:bCs w:val="false"/>
        <w:color w:val="000000"/>
        <w:sz w:val="14"/>
        <w:szCs w:val="14"/>
      </w:rPr>
      <w:t xml:space="preserve">	</w:t>
    </w:r>
    <w:r>
      <w:rPr>
        <w:rFonts w:ascii="Arial" w:cs="Arial" w:eastAsia="Arial" w:hAnsi="Arial"/>
        <w:b w:val="false"/>
        <w:bCs w:val="false"/>
        <w:color w:val="7F7F7F"/>
        <w:sz w:val="14"/>
        <w:szCs w:val="14"/>
      </w:rPr>
      <w:t xml:space="preserve">Page </w:t>
    </w:r>
    <w:r>
      <w:rPr>
        <w:rFonts w:ascii="Arial" w:cs="Arial" w:hAnsi="Arial"/>
        <w:color w:val="7F7F7F"/>
        <w:sz w:val="14"/>
        <w:szCs w:val="14"/>
      </w:rPr>
      <w:fldChar w:fldCharType="begin"/>
    </w:r>
    <w:r>
      <w:rPr>
        <w:rFonts w:ascii="Arial" w:cs="Arial" w:hAnsi="Arial"/>
        <w:color w:val="7F7F7F"/>
        <w:sz w:val="14"/>
        <w:szCs w:val="14"/>
      </w:rPr>
      <w:instrText xml:space="preserve"> PAGE </w:instrText>
    </w:r>
    <w:r>
      <w:rPr>
        <w:rFonts w:ascii="Arial" w:cs="Arial" w:hAnsi="Arial"/>
        <w:color w:val="7F7F7F"/>
        <w:sz w:val="14"/>
        <w:szCs w:val="14"/>
      </w:rPr>
      <w:fldChar w:fldCharType="end"/>
    </w:r>
    <w:r>
      <w:rPr>
        <w:rFonts w:ascii="Arial" w:cs="Arial" w:eastAsia="Arial" w:hAnsi="Arial"/>
        <w:b w:val="false"/>
        <w:bCs w:val="false"/>
        <w:color w:val="7F7F7F"/>
        <w:sz w:val="14"/>
        <w:szCs w:val="14"/>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026"/>
      </w:tabs>
      <w:spacing w:before="0" w:after="60"/>
    </w:pPr>
    <w:r>
      <w:rPr>
        <w:rFonts w:ascii="Arial" w:cs="Arial" w:eastAsia="Arial" w:hAnsi="Arial"/>
        <w:b/>
        <w:bCs/>
        <w:color w:val="1B2A4A"/>
        <w:sz w:val="16"/>
        <w:szCs w:val="16"/>
      </w:rPr>
      <w:t xml:space="preserve">2026 STRATEGIC RISK INTELLIGENCE SUITE  ·  DEFENCE TECHNOLOGY</w:t>
    </w:r>
    <w:r>
      <w:rPr>
        <w:rFonts w:ascii="Arial" w:cs="Arial" w:eastAsia="Arial" w:hAnsi="Arial"/>
        <w:b w:val="false"/>
        <w:bCs w:val="false"/>
        <w:color w:val="595959"/>
        <w:sz w:val="16"/>
        <w:szCs w:val="16"/>
      </w:rPr>
      <w:t xml:space="preserve">	Directed Energy Weapon Systems Supply Chain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180" w:after="8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2026-03-25T10:27:58.059Z</dcterms:created>
  <dcterms:modified xsi:type="dcterms:W3CDTF">2026-03-25T10:27:58.059Z</dcterms:modified>
</cp:coreProperties>
</file>

<file path=docProps/custom.xml><?xml version="1.0" encoding="utf-8"?>
<Properties xmlns="http://schemas.openxmlformats.org/officeDocument/2006/custom-properties" xmlns:vt="http://schemas.openxmlformats.org/officeDocument/2006/docPropsVTypes"/>
</file>