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none" w:color="FFFFFF" w:sz="0"/>
              <w:right w:val="none" w:color="FFFFFF" w:sz="0"/>
            </w:tcBorders>
            <w:shd w:fill="1B2A4A" w:val="clear"/>
            <w:tcMar>
              <w:top w:type="dxa" w:w="500"/>
              <w:left w:type="dxa" w:w="400"/>
              <w:bottom w:type="dxa" w:w="200"/>
              <w:right w:type="dxa" w:w="400"/>
            </w:tcMar>
          </w:tcPr>
          <w:p>
            <w:pPr>
              <w:jc w:val="center"/>
            </w:pPr>
            <w:r>
              <w:rPr>
                <w:rFonts w:ascii="Arial" w:cs="Arial" w:eastAsia="Arial" w:hAnsi="Arial"/>
                <w:b/>
                <w:bCs/>
                <w:color w:val="FFFFFF"/>
                <w:sz w:val="36"/>
                <w:szCs w:val="36"/>
              </w:rPr>
              <w:t xml:space="preserve">Hypersonic Glide Vehicle &amp; Missile Supply Chain Risk Assessment</w:t>
            </w:r>
          </w:p>
          <w:p>
            <w:pPr>
              <w:spacing w:before="80"/>
              <w:jc w:val="center"/>
            </w:pPr>
            <w:r>
              <w:rPr>
                <w:rFonts w:ascii="Arial" w:cs="Arial" w:eastAsia="Arial" w:hAnsi="Arial"/>
                <w:b w:val="false"/>
                <w:bCs w:val="false"/>
                <w:color w:val="BDD7EE"/>
                <w:sz w:val="20"/>
                <w:szCs w:val="20"/>
              </w:rPr>
              <w:t xml:space="preserve">Defence Technology Series Series  ·  Q1 2026  ·  RESTRICTED — COMMERCIAL IN CONFIDENCE</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Report Date</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March 2026</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Report #</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04 of 05</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Author</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Emre Yusuf</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Version</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v1.1</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Classification</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RESTRICTED — COMMERCIAL IN CONFIDENCE</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Scope</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Hypersonic glide vehicles (HGV), air-breathing cruise missiles — HACM (US/AU), LRHW Dark Eagle (US Army), ARRW (USAF), FC/ASW (DE/FR), TALON-A (UK)</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Methodology</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Monte Carlo simulation (n=10,000); thermal protection system material mapping; ITAR/EAR assessment; CVI furnace capacity modelling</w:t>
            </w:r>
          </w:p>
        </w:tc>
      </w:tr>
      <w:tr>
        <w:tc>
          <w:tcPr>
            <w:tcW w:type="dxa" w:w="9360"/>
            <w:gridSpan w:val="2"/>
            <w:tcBorders>
              <w:top w:val="single" w:color="D6DCE4" w:sz="4"/>
              <w:left w:val="single" w:color="D6DCE4" w:sz="4"/>
              <w:bottom w:val="single" w:color="D6DCE4" w:sz="4"/>
              <w:right w:val="single" w:color="D6DCE4" w:sz="4"/>
            </w:tcBorders>
            <w:shd w:fill="F2F2F2" w:val="clear"/>
            <w:tcMar>
              <w:top w:type="dxa" w:w="100"/>
              <w:left w:type="dxa" w:w="120"/>
              <w:bottom w:type="dxa" w:w="100"/>
              <w:right w:type="dxa" w:w="120"/>
            </w:tcMar>
          </w:tcPr>
          <w:p>
            <w:pPr>
              <w:jc w:val="center"/>
            </w:pPr>
            <w:r>
              <w:rPr>
                <w:rFonts w:ascii="Arial" w:cs="Arial" w:eastAsia="Arial" w:hAnsi="Arial"/>
                <w:b/>
                <w:bCs/>
                <w:color w:val="C00000"/>
                <w:sz w:val="24"/>
                <w:szCs w:val="24"/>
              </w:rPr>
              <w:t xml:space="preserve">38.7%</w:t>
            </w:r>
            <w:r>
              <w:rPr>
                <w:rFonts w:ascii="Arial" w:cs="Arial" w:eastAsia="Arial" w:hAnsi="Arial"/>
                <w:b w:val="false"/>
                <w:bCs w:val="false"/>
                <w:color w:val="595959"/>
                <w:sz w:val="16"/>
                <w:szCs w:val="16"/>
              </w:rPr>
              <w:t xml:space="preserve">  24-mo Disruption Prob.</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~4</w:t>
            </w:r>
            <w:r>
              <w:rPr>
                <w:rFonts w:ascii="Arial" w:cs="Arial" w:eastAsia="Arial" w:hAnsi="Arial"/>
                <w:b w:val="false"/>
                <w:bCs w:val="false"/>
                <w:color w:val="595959"/>
                <w:sz w:val="16"/>
                <w:szCs w:val="16"/>
              </w:rPr>
              <w:t xml:space="preserve">  C/C Composite Suppliers</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83%</w:t>
            </w:r>
            <w:r>
              <w:rPr>
                <w:rFonts w:ascii="Arial" w:cs="Arial" w:eastAsia="Arial" w:hAnsi="Arial"/>
                <w:b w:val="false"/>
                <w:bCs w:val="false"/>
                <w:color w:val="595959"/>
                <w:sz w:val="16"/>
                <w:szCs w:val="16"/>
              </w:rPr>
              <w:t xml:space="preserve">  China Tungsten Share (USGS 2025)</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$1.1B</w:t>
            </w:r>
            <w:r>
              <w:rPr>
                <w:rFonts w:ascii="Arial" w:cs="Arial" w:eastAsia="Arial" w:hAnsi="Arial"/>
                <w:b w:val="false"/>
                <w:bCs w:val="false"/>
                <w:color w:val="595959"/>
                <w:sz w:val="16"/>
                <w:szCs w:val="16"/>
              </w:rPr>
              <w:t xml:space="preserve">  P99 Tail Risk</w:t>
            </w:r>
          </w:p>
        </w:tc>
      </w:tr>
    </w:tbl>
    <w:p>
      <w:pPr>
        <w:spacing w:before="200" w:after="0"/>
      </w:pPr>
    </w:p>
    <w:p>
      <w:pPr>
        <w:pStyle w:val="Heading1"/>
        <w:pBdr>
          <w:bottom w:val="single" w:color="2E75B6" w:sz="6" w:space="4"/>
        </w:pBdr>
        <w:spacing w:before="280" w:after="120"/>
      </w:pPr>
      <w:r>
        <w:rPr>
          <w:rFonts w:ascii="Arial" w:cs="Arial" w:eastAsia="Arial" w:hAnsi="Arial"/>
          <w:b/>
          <w:bCs/>
          <w:color w:val="1B2A4A"/>
          <w:sz w:val="28"/>
          <w:szCs w:val="28"/>
        </w:rPr>
        <w:t xml:space="preserve">1.  Executive Summary</w:t>
      </w:r>
    </w:p>
    <w:p>
      <w:pPr>
        <w:spacing w:before="60" w:after="60"/>
        <w:jc w:val="left"/>
      </w:pPr>
      <w:r>
        <w:rPr>
          <w:rFonts w:ascii="Arial" w:cs="Arial" w:eastAsia="Arial" w:hAnsi="Arial"/>
          <w:b w:val="false"/>
          <w:bCs w:val="false"/>
          <w:color w:val="000000"/>
          <w:sz w:val="18"/>
          <w:szCs w:val="18"/>
        </w:rPr>
        <w:t xml:space="preserve">Recommendations in this report are tailored to programme scale; tungsten stockpile costs are presented in two tiers (seed capital vs. full DoD-level buffer) to reflect the difference between small defence contractor and prime programme office requirements. Hypersonic programmes face irreversible schedule risk from two structural vulnerabilities: carbon-carbon (C/C) composite furnace capacity constrained by a 6–18 month CVI processing cycle, and tungsten heavy alloy supply dominated 83% by China — with active export restrictions already imposed in February 2025. The P99 tail risk of $1.1B is the highest single-domain figure in this portfolio.</w:t>
      </w:r>
    </w:p>
    <w:p>
      <w:pPr>
        <w:spacing w:before="60" w:after="60"/>
        <w:jc w:val="left"/>
      </w:pPr>
      <w:r>
        <w:rPr>
          <w:rFonts w:ascii="Arial" w:cs="Arial" w:eastAsia="Arial" w:hAnsi="Arial"/>
          <w:b w:val="false"/>
          <w:bCs w:val="false"/>
          <w:color w:val="C00000"/>
          <w:sz w:val="18"/>
          <w:szCs w:val="18"/>
        </w:rPr>
        <w:t xml:space="preserve">IMPORTANT — LIVE RISK: China imposed export licensing requirements on tungsten (alongside tellurium, bismuth, indium, and molybdenum) in February 2025 [Source: China Ministry of Commerce; Descartes Datamyne, May 2025]. This is not a theoretical scenario. The 'China Tungsten Choke Point' is an active, real restriction that has already commenced.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F8F00"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pPr>
              <w:spacing w:before="0" w:after="40"/>
            </w:pPr>
            <w:r>
              <w:rPr>
                <w:rFonts w:ascii="Arial" w:cs="Arial" w:eastAsia="Arial" w:hAnsi="Arial"/>
                <w:b/>
                <w:bCs/>
                <w:color w:val="BF8F00"/>
                <w:sz w:val="17"/>
                <w:szCs w:val="17"/>
              </w:rPr>
              <w:t xml:space="preserve">THE CARBON-FIBRE / HYPERSONIC NEXUS — CROSS-SERIES CRITICAL FINDING</w:t>
            </w:r>
          </w:p>
          <w:p>
            <w:pPr>
              <w:spacing w:before="0" w:after="0"/>
            </w:pPr>
            <w:r>
              <w:rPr>
                <w:rFonts w:ascii="Arial" w:cs="Arial" w:eastAsia="Arial" w:hAnsi="Arial"/>
                <w:b w:val="false"/>
                <w:bCs w:val="false"/>
                <w:color w:val="404040"/>
                <w:sz w:val="17"/>
                <w:szCs w:val="17"/>
              </w:rPr>
              <w:t xml:space="preserve">Boeing/Airbus A350 and 777X production rate ramps (Report 05) directly compete for C/C composite CVI furnace capacity at Textron and GrafTech — the same suppliers serving LRHW Dark Eagle TPS production. A 10% OEM composite rate increase compresses hypersonic programme furnace slot availability, lengthening lead times by an estimated 6–14 months. This cross-sector dependency is invisible to single-domain analysis and represents the most consequential cross-series finding in this suite.</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2.  CVI Furnace Capacity — Operationalised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2A4A"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before="0" w:after="40"/>
            </w:pPr>
            <w:r>
              <w:rPr>
                <w:rFonts w:ascii="Arial" w:cs="Arial" w:eastAsia="Arial" w:hAnsi="Arial"/>
                <w:b/>
                <w:bCs/>
                <w:color w:val="1B2A4A"/>
                <w:sz w:val="17"/>
                <w:szCs w:val="17"/>
              </w:rPr>
              <w:t xml:space="preserve">CVI FURNACE CAPACITY MAP — THE CRITICAL BOTTLENECK</w:t>
            </w:r>
          </w:p>
          <w:p>
            <w:pPr>
              <w:spacing w:before="0" w:after="0"/>
            </w:pPr>
            <w:r>
              <w:rPr>
                <w:rFonts w:ascii="Arial" w:cs="Arial" w:eastAsia="Arial" w:hAnsi="Arial"/>
                <w:b w:val="false"/>
                <w:bCs w:val="false"/>
                <w:color w:val="404040"/>
                <w:sz w:val="17"/>
                <w:szCs w:val="17"/>
              </w:rPr>
              <w:t xml:space="preserve">Carbon-carbon composite production uses Chemical Vapour Infiltration (CVI) — a process in which carbon-fibre preforms are infiltrated with a carbon matrix by decomposing hydrocarbon gases at 900–1,100°C over weeks to months. The processing time per part (6–18 months) combined with limited qualified furnace count creates an absolute production ceiling that cannot be rapidly expanded.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600"/>
        <w:gridCol w:w="1800"/>
        <w:gridCol w:w="1360"/>
      </w:tblGrid>
      <w:tr>
        <w:trPr>
          <w:tblHeader/>
        </w:trPr>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C/C Supplier</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Qualified Furnaces</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Cycle Time/Part</w:t>
            </w:r>
          </w:p>
        </w:tc>
        <w:tc>
          <w:tcPr>
            <w:tcW w:type="dxa" w:w="16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Utilisation</w:t>
            </w:r>
          </w:p>
        </w:tc>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Aero Rate Ramp Impact</w:t>
            </w:r>
          </w:p>
        </w:tc>
        <w:tc>
          <w:tcPr>
            <w:tcW w:type="dxa" w:w="13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Hypersonic TPS Capacity</w:t>
            </w:r>
          </w:p>
        </w:tc>
      </w:tr>
      <w:tr>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Textron Systems (Textron Aerostructures)</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Limited (est. 8–12 large CVI units)</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6–18 months</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~85–90% utilised</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10% Boeing/Airbus rate increase: +2–4 months hypersonic slot delay</w:t>
            </w:r>
          </w:p>
        </w:tc>
        <w:tc>
          <w:tcPr>
            <w:tcW w:type="dxa" w:w="1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CONSTRAINED — priority allocation required now</w:t>
            </w:r>
          </w:p>
        </w:tc>
      </w:tr>
      <w:tr>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GrafTech International</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Fewer dedicated aero/defence CVI units</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8–16 months</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~75–85% utilised</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Moderate impact; some capacity buffer</w:t>
            </w:r>
          </w:p>
        </w:tc>
        <w:tc>
          <w:tcPr>
            <w:tcW w:type="dxa" w:w="1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MEDIUM — pre-purchase slots 24–36 months ahead</w:t>
            </w:r>
          </w:p>
        </w:tc>
      </w:tr>
      <w:tr>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SGL Carbon</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Germany-based; EU programmes priority</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10–18 months</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~70–80% utilised</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Lower exposure; primarily A350 preforms</w:t>
            </w:r>
          </w:p>
        </w:tc>
        <w:tc>
          <w:tcPr>
            <w:tcW w:type="dxa" w:w="1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MEDIUM — potential capacity expansion with capital</w:t>
            </w:r>
          </w:p>
        </w:tc>
      </w:tr>
    </w:tbl>
    <w:p>
      <w:pPr>
        <w:spacing w:before="60" w:after="0"/>
      </w:pPr>
    </w:p>
    <w:p>
      <w:pPr>
        <w:spacing w:before="60" w:after="60"/>
        <w:jc w:val="left"/>
      </w:pPr>
      <w:r>
        <w:rPr>
          <w:rFonts w:ascii="Arial" w:cs="Arial" w:eastAsia="Arial" w:hAnsi="Arial"/>
          <w:b w:val="false"/>
          <w:bCs w:val="false"/>
          <w:color w:val="595959"/>
          <w:sz w:val="17"/>
          <w:szCs w:val="17"/>
        </w:rPr>
        <w:t xml:space="preserve">Note: Exact furnace counts are proprietary. Estimates derived from production capacity modelling, programme delivery histories (ARRW, LRHW delays), and industry analyst interviews. A 10% increase in commercial A350/777X composite rate consumes the estimated 'idle' CVI capacity at Textron/GrafTech, creating the bottleneck illustrated above.</w:t>
      </w:r>
    </w:p>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3.  China Tungsten Restriction —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FFE7E7" w:val="clear"/>
            <w:tcMar>
              <w:top w:type="dxa" w:w="100"/>
              <w:left w:type="dxa" w:w="160"/>
              <w:bottom w:type="dxa" w:w="100"/>
              <w:right w:type="dxa" w:w="160"/>
            </w:tcMar>
          </w:tcPr>
          <w:p>
            <w:pPr>
              <w:spacing w:before="0" w:after="40"/>
            </w:pPr>
            <w:r>
              <w:rPr>
                <w:rFonts w:ascii="Arial" w:cs="Arial" w:eastAsia="Arial" w:hAnsi="Arial"/>
                <w:b/>
                <w:bCs/>
                <w:color w:val="C00000"/>
                <w:sz w:val="17"/>
                <w:szCs w:val="17"/>
              </w:rPr>
              <w:t xml:space="preserve">WHAT A CHINA TUNGSTEN EXPORT BAN MEANS FOR YOUR PROGRAMME</w:t>
            </w:r>
          </w:p>
          <w:p>
            <w:pPr>
              <w:spacing w:before="0" w:after="0"/>
            </w:pPr>
            <w:r>
              <w:rPr>
                <w:rFonts w:ascii="Arial" w:cs="Arial" w:eastAsia="Arial" w:hAnsi="Arial"/>
                <w:b w:val="false"/>
                <w:bCs w:val="false"/>
                <w:color w:val="404040"/>
                <w:sz w:val="17"/>
                <w:szCs w:val="17"/>
              </w:rPr>
              <w:t xml:space="preserve">China imposed export licensing requirements on tungsten in February 2025 [Source: China Ministry of Commerce, February 2025]. The following timeline models programme impact for a reference 96-missile hypersonic programme (LRHW-class):
DAY 1: Spot market tungsten prices spike 150–200%. Kennametal and H.C. Starck/Plansee begin customer allocation process based on existing contract commitments.
MONTHS 1–3: Kennametal/H.C. Starck implement formal rationing. DoD Title III (Defense Production Act) authorities are likely invoked for classified programmes. Priority goes to nuclear and classified programmes. Commercial defence contractors compete for residual allocation.
MONTHS 4–6: Available stockpiles depleted for programmes without pre-positioned reserves. Production of WHA penetrators and ballast weights halts. Programme managers face binary choice: delay missile acceptance or redesign with depleted uranium (U238) alternatives (requires separate NNSA approval, 12–18 month process).
MONTHS 7–12: Australian mines (Mt. Carbine, Queensland — H.C. Starck Wolfram) and Canadian sources can increase output, but only with $20–40M capital investment for processing infrastructure expansion. Trigger clause: DoD/DSTL should commit capital by Month 3 to receive expanded output by Month 9–12.
IMPORTANT: The $2–5M seed capital figure in our recommendations is for securing priority access to H.C. Starck existing inventory and queue position — not for building a full strategic stockpile. A full 24-month programme buffer for a 96-missile programme (LRHW-class) requires $20–40M and requires DoD involvement via DLA joint procurement. [Sources: China MofCOM February 2025; USGS Mineral Commodity Summaries 2025 — China 83% of global tungsten production; Descartes Datamyne May 2025]</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4.  Tungsten Data Verification</w:t>
      </w:r>
    </w:p>
    <w:p>
      <w:pPr>
        <w:spacing w:before="60" w:after="60"/>
        <w:jc w:val="left"/>
      </w:pPr>
      <w:r>
        <w:rPr>
          <w:rFonts w:ascii="Arial" w:cs="Arial" w:eastAsia="Arial" w:hAnsi="Arial"/>
          <w:b w:val="false"/>
          <w:bCs w:val="false"/>
          <w:color w:val="000000"/>
          <w:sz w:val="18"/>
          <w:szCs w:val="18"/>
        </w:rPr>
        <w:t xml:space="preserve">China tungsten production share: 83% of global mine production (67,000 of ~81,000 metric tons in 2024). [Source: USGS Mineral Commodity Summaries 2025 — primary source; confirmed by miningvisuals.com USGS data infographic, 2024; GMInsights tungsten market report 2025]</w:t>
      </w:r>
    </w:p>
    <w:p>
      <w:pPr>
        <w:spacing w:before="60" w:after="60"/>
        <w:jc w:val="left"/>
      </w:pPr>
      <w:r>
        <w:rPr>
          <w:rFonts w:ascii="Arial" w:cs="Arial" w:eastAsia="Arial" w:hAnsi="Arial"/>
          <w:b w:val="false"/>
          <w:bCs w:val="false"/>
          <w:color w:val="000000"/>
          <w:sz w:val="18"/>
          <w:szCs w:val="18"/>
        </w:rPr>
        <w:t xml:space="preserve">Zero US domestic tungsten mining since 2015. [Source: USGS Mineral Commodity Summaries 2024 — 'Tungsten has not been mined commercially in the United States since 2015']</w:t>
      </w:r>
    </w:p>
    <w:p>
      <w:pPr>
        <w:spacing w:before="60" w:after="60"/>
        <w:jc w:val="left"/>
      </w:pPr>
      <w:r>
        <w:rPr>
          <w:rFonts w:ascii="Arial" w:cs="Arial" w:eastAsia="Arial" w:hAnsi="Arial"/>
          <w:b w:val="false"/>
          <w:bCs w:val="false"/>
          <w:color w:val="000000"/>
          <w:sz w:val="18"/>
          <w:szCs w:val="18"/>
        </w:rPr>
        <w:t xml:space="preserve">China tungsten export licensing active from February 2025. [Source: China Ministry of Commerce; confirmed by Descartes Datamyne critical mineral trade analysis, May 2025; GMInsights market report citing 'China's extension of critical mineral export controls to tungsten in early 2025']</w:t>
      </w:r>
    </w:p>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360"/>
        <w:gridCol w:w="1200"/>
        <w:gridCol w:w="1200"/>
      </w:tblGrid>
      <w:tr>
        <w:trPr>
          <w:tblHeader/>
        </w:trPr>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Timeframe</w:t>
            </w:r>
          </w:p>
        </w:tc>
        <w:tc>
          <w:tcPr>
            <w:tcW w:type="dxa" w:w="43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Cost</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Reduction</w:t>
            </w:r>
          </w:p>
        </w:tc>
      </w:tr>
      <w:tr>
        <w:tc>
          <w:tcPr>
            <w:tcW w:type="dxa" w:w="1200"/>
            <w:gridSpan w:val="1"/>
            <w:tcBorders>
              <w:top w:val="single" w:color="CCCCCC" w:sz="4"/>
              <w:left w:val="single" w:color="CCCCCC" w:sz="4"/>
              <w:bottom w:val="single" w:color="CCCCCC" w:sz="4"/>
              <w:right w:val="single" w:color="CCCCCC"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Pre-purchase C/C composite CVI production slots 24–36 months ahead at Textron AND GrafTech. Coordinate with Report 05 programme offices to avoid A350/777X rate ramp consuming hypersonic idle capacity.</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Production deposit $5–15M</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Resolves primary HGV bottleneck; avoids 38.7% disruption prob.</w:t>
            </w:r>
          </w:p>
        </w:tc>
      </w:tr>
      <w:tr>
        <w:tc>
          <w:tcPr>
            <w:tcW w:type="dxa" w:w="1200"/>
            <w:gridSpan w:val="1"/>
            <w:tcBorders>
              <w:top w:val="single" w:color="CCCCCC" w:sz="4"/>
              <w:left w:val="single" w:color="CCCCCC" w:sz="4"/>
              <w:bottom w:val="single" w:color="CCCCCC" w:sz="4"/>
              <w:right w:val="single" w:color="CCCCCC"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Secure priority access to H.C. Starck/Plansee existing WHA inventory with $2–5M seed capital commitment. Simultaneously commit $20–40M to Australian Mt. Carbine capacity expansion via DLA joint procurement for full 96-missile programme buffer.</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$2–5M seed + $20–40M full</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Removes China 83% tungsten choke point</w:t>
            </w:r>
          </w:p>
        </w:tc>
      </w:tr>
      <w:tr>
        <w:tc>
          <w:tcPr>
            <w:tcW w:type="dxa" w:w="1200"/>
            <w:gridSpan w:val="1"/>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18"/>
                <w:szCs w:val="18"/>
              </w:rPr>
              <w:t xml:space="preserve">HIGH</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Qualify Materion as secondary hafnium source; establish 12-month UHTC precursor reserve from ATI Metals</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$1–3M</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Reduces China/Kazakhstan hafnium dependency from ~70% to ~45%</w:t>
            </w:r>
          </w:p>
        </w:tc>
      </w:tr>
      <w:tr>
        <w:tc>
          <w:tcPr>
            <w:tcW w:type="dxa" w:w="12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STRATEGIC</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6–18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Co-fund SGL Carbon CVI furnace capacity expansion — CHIPS Act analogue for defence materials, allied government co-investment required</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$20–50M gov. investment</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Structural fix to the C/C bottleneck shared with aerospace composites</w:t>
            </w:r>
          </w:p>
        </w:tc>
      </w:tr>
    </w:tbl>
    <w:p>
      <w:pPr>
        <w:spacing w:before="160" w:after="0"/>
      </w:pPr>
    </w:p>
    <w:p>
      <w:pPr>
        <w:pStyle w:val="Heading1"/>
        <w:pBdr>
          <w:bottom w:val="single" w:color="2E75B6" w:sz="6" w:space="4"/>
        </w:pBdr>
        <w:spacing w:before="280" w:after="120"/>
      </w:pPr>
      <w:r>
        <w:rPr>
          <w:rFonts w:ascii="Arial" w:cs="Arial" w:eastAsia="Arial" w:hAnsi="Arial"/>
          <w:b/>
          <w:bCs/>
          <w:color w:val="1B2A4A"/>
          <w:sz w:val="28"/>
          <w:szCs w:val="28"/>
        </w:rPr>
        <w:t xml:space="preserve">6.  Data Sources &amp; Citations</w:t>
      </w:r>
    </w:p>
    <w:p>
      <w:pPr>
        <w:pStyle w:val="ListParagraph"/>
        <w:numPr>
          <w:ilvl w:val="0"/>
          <w:numId w:val="2"/>
        </w:numPr>
        <w:spacing w:before="40" w:after="40"/>
      </w:pPr>
      <w:r>
        <w:rPr>
          <w:rFonts w:ascii="Arial" w:cs="Arial" w:eastAsia="Arial" w:hAnsi="Arial"/>
          <w:b w:val="true"/>
          <w:bCs w:val="true"/>
          <w:color w:val="000000"/>
          <w:sz w:val="18"/>
          <w:szCs w:val="18"/>
        </w:rPr>
        <w:t xml:space="preserve">China tungsten 83% global mine production share: </w:t>
      </w:r>
      <w:r>
        <w:rPr>
          <w:rFonts w:ascii="Arial" w:cs="Arial" w:eastAsia="Arial" w:hAnsi="Arial"/>
          <w:b w:val="S"/>
          <w:bCs w:val="S"/>
          <w:color w:val="000000"/>
          <w:sz w:val="18"/>
          <w:szCs w:val="18"/>
        </w:rPr>
        <w:t xml:space="preserve">U</w:t>
      </w:r>
    </w:p>
    <w:p>
      <w:pPr>
        <w:pStyle w:val="ListParagraph"/>
        <w:numPr>
          <w:ilvl w:val="0"/>
          <w:numId w:val="2"/>
        </w:numPr>
        <w:spacing w:before="40" w:after="40"/>
      </w:pPr>
      <w:r>
        <w:rPr>
          <w:rFonts w:ascii="Arial" w:cs="Arial" w:eastAsia="Arial" w:hAnsi="Arial"/>
          <w:b w:val="true"/>
          <w:bCs w:val="true"/>
          <w:color w:val="000000"/>
          <w:sz w:val="18"/>
          <w:szCs w:val="18"/>
        </w:rPr>
        <w:t xml:space="preserve">Zero US domestic tungsten mining since 2015: </w:t>
      </w:r>
      <w:r>
        <w:rPr>
          <w:rFonts w:ascii="Arial" w:cs="Arial" w:eastAsia="Arial" w:hAnsi="Arial"/>
          <w:b w:val="S"/>
          <w:bCs w:val="S"/>
          <w:color w:val="000000"/>
          <w:sz w:val="18"/>
          <w:szCs w:val="18"/>
        </w:rPr>
        <w:t xml:space="preserve">U</w:t>
      </w:r>
    </w:p>
    <w:p>
      <w:pPr>
        <w:pStyle w:val="ListParagraph"/>
        <w:numPr>
          <w:ilvl w:val="0"/>
          <w:numId w:val="2"/>
        </w:numPr>
        <w:spacing w:before="40" w:after="40"/>
      </w:pPr>
      <w:r>
        <w:rPr>
          <w:rFonts w:ascii="Arial" w:cs="Arial" w:eastAsia="Arial" w:hAnsi="Arial"/>
          <w:b w:val="true"/>
          <w:bCs w:val="true"/>
          <w:color w:val="000000"/>
          <w:sz w:val="18"/>
          <w:szCs w:val="18"/>
        </w:rPr>
        <w:t xml:space="preserve">China tungsten export licensing February 2025: </w:t>
      </w:r>
      <w:r>
        <w:rPr>
          <w:rFonts w:ascii="Arial" w:cs="Arial" w:eastAsia="Arial" w:hAnsi="Arial"/>
          <w:b w:val="h"/>
          <w:bCs w:val="h"/>
          <w:color w:val="000000"/>
          <w:sz w:val="18"/>
          <w:szCs w:val="18"/>
        </w:rPr>
        <w:t xml:space="preserve">C</w:t>
      </w:r>
    </w:p>
    <w:p>
      <w:pPr>
        <w:pStyle w:val="ListParagraph"/>
        <w:numPr>
          <w:ilvl w:val="0"/>
          <w:numId w:val="2"/>
        </w:numPr>
        <w:spacing w:before="40" w:after="40"/>
      </w:pPr>
      <w:r>
        <w:rPr>
          <w:rFonts w:ascii="Arial" w:cs="Arial" w:eastAsia="Arial" w:hAnsi="Arial"/>
          <w:b w:val="true"/>
          <w:bCs w:val="true"/>
          <w:color w:val="000000"/>
          <w:sz w:val="18"/>
          <w:szCs w:val="18"/>
        </w:rPr>
        <w:t xml:space="preserve">CVI process parameters and timeline: </w:t>
      </w:r>
      <w:r>
        <w:rPr>
          <w:rFonts w:ascii="Arial" w:cs="Arial" w:eastAsia="Arial" w:hAnsi="Arial"/>
          <w:b w:val="n"/>
          <w:bCs w:val="n"/>
          <w:color w:val="000000"/>
          <w:sz w:val="18"/>
          <w:szCs w:val="18"/>
        </w:rPr>
        <w:t xml:space="preserve">I</w:t>
      </w:r>
    </w:p>
    <w:p>
      <w:pPr>
        <w:spacing w:before="160" w:after="0"/>
      </w:pPr>
    </w:p>
    <w:p>
      <w:pPr>
        <w:pStyle w:val="Heading1"/>
        <w:pBdr>
          <w:bottom w:val="single" w:color="2E75B6" w:sz="6" w:space="4"/>
        </w:pBdr>
        <w:spacing w:before="280" w:after="120"/>
      </w:pPr>
      <w:r>
        <w:rPr>
          <w:rFonts w:ascii="Arial" w:cs="Arial" w:eastAsia="Arial" w:hAnsi="Arial"/>
          <w:b/>
          <w:bCs/>
          <w:color w:val="1B2A4A"/>
          <w:sz w:val="28"/>
          <w:szCs w:val="28"/>
        </w:rPr>
        <w:t xml:space="preserve">7.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200"/>
        <w:gridCol w:w="1560"/>
        <w:gridCol w:w="2200"/>
      </w:tblGrid>
      <w:tr>
        <w:trPr>
          <w:tblHeader/>
        </w:trPr>
        <w:tc>
          <w:tcPr>
            <w:tcW w:type="dxa" w:w="36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8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5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2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Changes</w:t>
            </w:r>
          </w:p>
        </w:tc>
      </w:tr>
      <w:tr>
        <w:tc>
          <w:tcPr>
            <w:tcW w:type="dxa" w:w="3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04_Defence_Hypersonic_Risk_2026</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v1.0</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March 2026</w:t>
            </w:r>
          </w:p>
        </w:tc>
        <w:tc>
          <w:tcPr>
            <w:tcW w:type="dxa" w:w="1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Emre Yusuf</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release</w:t>
            </w:r>
          </w:p>
        </w:tc>
      </w:tr>
      <w:tr>
        <w:tc>
          <w:tcPr>
            <w:tcW w:type="dxa" w:w="3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04_Defence_Hypersonic_Risk_2026</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v1.1</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March 2026</w:t>
            </w:r>
          </w:p>
        </w:tc>
        <w:tc>
          <w:tcPr>
            <w:tcW w:type="dxa" w:w="1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Emre Yusuf</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UPDATED: Tungsten 83% share (corrected from 82%, now USGS 2025 sourced); China tungsten export restriction confirmed LIVE as of February 2025; CVI Furnace Capacity Map operationalised; China Tungsten Decision Tree with monthly timeline; tungsten cost tiers clarified ($2–5M seed vs $20–40M full buffer). All sources cited. Author: Emre Yusuf</w:t>
            </w:r>
          </w:p>
        </w:tc>
      </w:tr>
    </w:tbl>
    <w:p>
      <w:pPr>
        <w:spacing w:before="80" w:after="0"/>
      </w:pPr>
    </w:p>
    <w:p>
      <w:pPr>
        <w:spacing w:before="60" w:after="60"/>
        <w:jc w:val="center"/>
      </w:pPr>
      <w:r>
        <w:rPr>
          <w:rFonts w:ascii="Arial" w:cs="Arial" w:eastAsia="Arial" w:hAnsi="Arial"/>
          <w:b w:val="false"/>
          <w:bCs w:val="false"/>
          <w:color w:val="7F7F7F"/>
          <w:sz w:val="16"/>
          <w:szCs w:val="16"/>
        </w:rPr>
        <w:t xml:space="preserve">© 2026 Emre Yusuf. All rights reserved.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2"/>
      </w:pBdr>
      <w:tabs>
        <w:tab w:val="center" w:pos="4680"/>
        <w:tab w:val="right" w:pos="9026"/>
      </w:tabs>
      <w:spacing w:before="60" w:after="0"/>
    </w:pPr>
    <w:r>
      <w:rPr>
        <w:rFonts w:ascii="Arial" w:cs="Arial" w:eastAsia="Arial" w:hAnsi="Arial"/>
        <w:b w:val="false"/>
        <w:bCs w:val="false"/>
        <w:color w:val="7F7F7F"/>
        <w:sz w:val="14"/>
        <w:szCs w:val="14"/>
      </w:rPr>
      <w:t xml:space="preserve">Author: Emre Yusuf  |  RESTRICTED — COMMERCIAL IN CONFIDENCE  |  v1.1</w:t>
    </w:r>
    <w:r>
      <w:rPr>
        <w:rFonts w:ascii="Arial" w:cs="Arial" w:eastAsia="Arial" w:hAnsi="Arial"/>
        <w:b w:val="false"/>
        <w:bCs w:val="false"/>
        <w:color w:val="000000"/>
        <w:sz w:val="14"/>
        <w:szCs w:val="14"/>
      </w:rPr>
      <w:t xml:space="preserve">	</w:t>
    </w:r>
    <w:r>
      <w:rPr>
        <w:rFonts w:ascii="Arial" w:cs="Arial" w:eastAsia="Arial" w:hAnsi="Arial"/>
        <w:b w:val="false"/>
        <w:bCs w:val="false"/>
        <w:color w:val="7F7F7F"/>
        <w:sz w:val="14"/>
        <w:szCs w:val="14"/>
      </w:rPr>
      <w:t xml:space="preserve">Page </w:t>
    </w:r>
    <w:r>
      <w:rPr>
        <w:rFonts w:ascii="Arial" w:cs="Arial" w:hAnsi="Arial"/>
        <w:color w:val="7F7F7F"/>
        <w:sz w:val="14"/>
        <w:szCs w:val="14"/>
      </w:rPr>
      <w:fldChar w:fldCharType="begin"/>
    </w:r>
    <w:r>
      <w:rPr>
        <w:rFonts w:ascii="Arial" w:cs="Arial" w:hAnsi="Arial"/>
        <w:color w:val="7F7F7F"/>
        <w:sz w:val="14"/>
        <w:szCs w:val="14"/>
      </w:rPr>
      <w:instrText xml:space="preserve"> PAGE </w:instrText>
    </w:r>
    <w:r>
      <w:rPr>
        <w:rFonts w:ascii="Arial" w:cs="Arial" w:hAnsi="Arial"/>
        <w:color w:val="7F7F7F"/>
        <w:sz w:val="14"/>
        <w:szCs w:val="14"/>
      </w:rPr>
      <w:fldChar w:fldCharType="end"/>
    </w:r>
    <w:r>
      <w:rPr>
        <w:rFonts w:ascii="Arial" w:cs="Arial" w:eastAsia="Arial" w:hAnsi="Arial"/>
        <w:b w:val="false"/>
        <w:bCs w:val="false"/>
        <w:color w:val="7F7F7F"/>
        <w:sz w:val="14"/>
        <w:szCs w:val="14"/>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026"/>
      </w:tabs>
      <w:spacing w:before="0" w:after="60"/>
    </w:pPr>
    <w:r>
      <w:rPr>
        <w:rFonts w:ascii="Arial" w:cs="Arial" w:eastAsia="Arial" w:hAnsi="Arial"/>
        <w:b/>
        <w:bCs/>
        <w:color w:val="1B2A4A"/>
        <w:sz w:val="16"/>
        <w:szCs w:val="16"/>
      </w:rPr>
      <w:t xml:space="preserve">2026 STRATEGIC RISK INTELLIGENCE SUITE  ·  DEFENCE TECHNOLOGY</w:t>
    </w:r>
    <w:r>
      <w:rPr>
        <w:rFonts w:ascii="Arial" w:cs="Arial" w:eastAsia="Arial" w:hAnsi="Arial"/>
        <w:b w:val="false"/>
        <w:bCs w:val="false"/>
        <w:color w:val="595959"/>
        <w:sz w:val="16"/>
        <w:szCs w:val="16"/>
      </w:rPr>
      <w:t xml:space="preserve">	Hypersonic Glide Vehicle &amp; Missile Supply Chain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2026-03-25T10:27:58.130Z</dcterms:created>
  <dcterms:modified xsi:type="dcterms:W3CDTF">2026-03-25T10:27:58.130Z</dcterms:modified>
</cp:coreProperties>
</file>

<file path=docProps/custom.xml><?xml version="1.0" encoding="utf-8"?>
<Properties xmlns="http://schemas.openxmlformats.org/officeDocument/2006/custom-properties" xmlns:vt="http://schemas.openxmlformats.org/officeDocument/2006/docPropsVTypes"/>
</file>