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5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Commercial Aircraft Composite Materials Supply Chain Risk Assessment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DD7EE"/>
                <w:sz w:val="20"/>
                <w:szCs w:val="20"/>
              </w:rPr>
              <w:t xml:space="preserve">Aerospace Sector Series Series  ·  Q1 2026  ·  COMMERCIAL IN CONFIDENCE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Report #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 of 05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Author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Emre Yusuf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Version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v1.1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COMMERCIAL IN CONFIDENCE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Scope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Carbon fibre, prepreg, structural composites for narrow/wide-body commercial aircraft (737 MAX, A320neo, A350, 777X)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7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Monte Carlo simulation (n=10,000); Tier 1–3 supplier mapping; PAN precursor root-cause analysis; demand/capacity modelling</w:t>
            </w:r>
          </w:p>
        </w:tc>
      </w:tr>
      <w:tr>
        <w:tc>
          <w:tcPr>
            <w:tcW w:type="dxa" w:w="9360"/>
            <w:gridSpan w:val="2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31.8%</w:t>
            </w: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  24-mo Disruption Prob.</w:t>
            </w:r>
            <w:r>
              <w:rPr>
                <w:rFonts w:ascii="Arial" w:cs="Arial" w:eastAsia="Arial" w:hAnsi="Arial"/>
                <w:b w:val="false"/>
                <w:bCs w:val="false"/>
                <w:color w:val="D6DCE4"/>
                <w:sz w:val="16"/>
                <w:szCs w:val="16"/>
              </w:rPr>
              <w:t xml:space="preserve">     |   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&gt;70%</w:t>
            </w: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  Toray/Teijin/Solvay CF Share</w:t>
            </w:r>
            <w:r>
              <w:rPr>
                <w:rFonts w:ascii="Arial" w:cs="Arial" w:eastAsia="Arial" w:hAnsi="Arial"/>
                <w:b w:val="false"/>
                <w:bCs w:val="false"/>
                <w:color w:val="D6DCE4"/>
                <w:sz w:val="16"/>
                <w:szCs w:val="16"/>
              </w:rPr>
              <w:t xml:space="preserve">     |   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3–7 yrs</w:t>
            </w: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  CF Requalification Time</w:t>
            </w:r>
            <w:r>
              <w:rPr>
                <w:rFonts w:ascii="Arial" w:cs="Arial" w:eastAsia="Arial" w:hAnsi="Arial"/>
                <w:b w:val="false"/>
                <w:bCs w:val="false"/>
                <w:color w:val="D6DCE4"/>
                <w:sz w:val="16"/>
                <w:szCs w:val="16"/>
              </w:rPr>
              <w:t xml:space="preserve">     |     </w:t>
            </w:r>
            <w:r>
              <w:rPr>
                <w:rFonts w:ascii="Arial" w:cs="Arial" w:eastAsia="Arial" w:hAnsi="Arial"/>
                <w:b/>
                <w:bCs/>
                <w:color w:val="C00000"/>
                <w:sz w:val="24"/>
                <w:szCs w:val="24"/>
              </w:rPr>
              <w:t xml:space="preserve">$780M</w:t>
            </w: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6"/>
                <w:szCs w:val="16"/>
              </w:rPr>
              <w:t xml:space="preserve">  P90 OEM Cost Impact</w:t>
            </w:r>
          </w:p>
        </w:tc>
      </w:tr>
    </w:tbl>
    <w:p>
      <w:pPr>
        <w:spacing w:before="200" w:after="0"/>
      </w:pPr>
    </w:p>
    <w:p>
      <w:pPr>
        <w:pStyle w:val="Heading1"/>
        <w:pBdr>
          <w:bottom w:val="single" w:color="2E75B6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 Executive Summary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Recommendations in this report are tailored to client type; sections addressing PE investors (supplier financial distress vector), Boeing/Airbus programme managers (capacity contention scheduling), and defence primes (Hypersonic Nexus coordination) are explicitly labelled. Commercial aerospace composites face a structural supply-demand imbalance driven by three concurrent forces: record OEM production rate ambitions, post-COVID supply chain reconstruction, and rising competition from defence and wind energy sectors for carbon fibre feedstock. The critical enabler of this vulnerability is the polyacrylonitrile (PAN) precursor — a specialised acrylonitrile grade whose supply is directly tied to the broader acrylic fibre market, which is structurally shrinking.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Monte Carlo modelling projects a 31.8% disruption probability with P90 impact of $312M and P99 tail risk of $780M for a representative OEM. Note: the v1.1 model incorporates a Supplier Financial Distress vector (Teijin/Solvay, 12% probability over 24 months) in addition to the original supply shock and demand vectors.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8F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/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THE CARBON-FIBRE / HYPERSONIC NEXUS — CROSS-SERIES CRITICAL FINDING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This report's core C/C composite and CVI furnace capacity constraint directly competes with Report 04's hypersonic TPS material demand at Textron and GrafTech. A 10% Boeing/Airbus A350/777X production rate increase compresses hypersonic programme CVI slot availability, extending LRHW and ARRW delivery timelines by 6–14 months. Conversely, a hypersonic programme surge crowds out commercial aerospace composite capacity. These two domains share critical upstream supply nodes and must be jointly managed. See Master Portfolio Dashboard Section 3.</w:t>
            </w:r>
          </w:p>
        </w:tc>
      </w:tr>
    </w:tbl>
    <w:p>
      <w:pPr>
        <w:spacing w:before="80" w:after="0"/>
      </w:pPr>
    </w:p>
    <w:p>
      <w:pPr>
        <w:pStyle w:val="Heading1"/>
        <w:pBdr>
          <w:bottom w:val="single" w:color="2E75B6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 PAN Precursor — Root Cause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/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EEA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17"/>
                <w:szCs w:val="17"/>
              </w:rPr>
              <w:t xml:space="preserve">WHY PAN IS THE REAL BOTTLENECK — THE FASHION INDUSTRY CONNECTION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Polyacrylonitrile (PAN) precursor is not a generic chemical. It is a specialised acrylonitrile grade requiring controlled molecular weight distribution and precise spinning parameters to produce fibre with the draw ratio and tensile properties needed for aerospace-grade carbon fibre. The global supply of aerospace-grade PAN precursor is directly tied to the broader acrylic fibre market — the same industrial infrastructure that produces acrylic yarn for textiles and carpets.
Here is the structural risk: as global fashion trends shift away from synthetic acrylic yarns (environmental pressure, fast-fashion decline), chemical producers are decommissioning acrylic PAN spinning lines that are no longer economically viable for textile applications. These same lines are the feedstock infrastructure for aerospace-grade PAN production. As the global acrylic sweater market declines, chemical producers are inadvertently creating a structural supply crunch for aerospace-grade carbon fibre.
Primary aerospace-grade PAN precursor producers: Dralon (Germany), Montefibre (Italy — now part of Solvay), and Toray's captive PAN supply (Japan). Each represents a separate geopolitical and capacity risk. [Source: industry carbon fibre value chain analysis; PAN precursor market intelligence]</w:t>
            </w:r>
          </w:p>
        </w:tc>
      </w:tr>
    </w:tbl>
    <w:p>
      <w:pPr>
        <w:spacing w:before="80" w:after="0"/>
      </w:pPr>
    </w:p>
    <w:p>
      <w:pPr>
        <w:pStyle w:val="Heading1"/>
        <w:pBdr>
          <w:bottom w:val="single" w:color="2E75B6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 Hypersonic Nexus — Capacity Contention Model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The following table quantifies the cross-sector capacity competition between commercial aerospace and hypersonic defence programmes at shared CVI furnace suppliers: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2400"/>
        <w:gridCol w:w="13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Sector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Bottleneck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Cross-Sector Impact Scenario</w:t>
            </w:r>
          </w:p>
        </w:tc>
        <w:tc>
          <w:tcPr>
            <w:tcW w:type="dxa" w:w="1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Direction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Boeing/Airbus (Report 05)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777X/A350 composite structures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Textron, GrafTech C/C CVI preforms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Hypersonic TPS slots delayed +2–4 months per rate unit</w:t>
            </w:r>
          </w:p>
        </w:tc>
        <w:tc>
          <w:tcPr>
            <w:tcW w:type="dxa" w:w="1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 05 competes with Report 04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Hypersonics (Report 04)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LRHW TPS, nose tips, leading edges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Textron, GrafTech C/C CVI preforms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A350/777X delivery rate slows by 1–2 aircraft/month</w:t>
            </w:r>
          </w:p>
        </w:tc>
        <w:tc>
          <w:tcPr>
            <w:tcW w:type="dxa" w:w="1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Report 04 competes with Report 05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SHARED INSIGHT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Both sectors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CVI furnace total capacity</w:t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 coordinated scheduling agreement between OEMs and defence primes would eliminate ~40% of estimated capacity conflict</w:t>
            </w:r>
          </w:p>
        </w:tc>
        <w:tc>
          <w:tcPr>
            <w:tcW w:type="dxa" w:w="1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Joint mitigation required</w:t>
            </w:r>
          </w:p>
        </w:tc>
      </w:tr>
    </w:tbl>
    <w:p>
      <w:pPr>
        <w:spacing w:before="60" w:after="0"/>
      </w:pP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595959"/>
          <w:sz w:val="17"/>
          <w:szCs w:val="17"/>
        </w:rPr>
        <w:t xml:space="preserve">This analysis demonstrates that clients in aerospace consulting cannot model their supply risk in isolation from defence programme demand. Consulting clients can sell this cross-sector capacity analysis as a premium differentiating service. [Source: CVI capacity modelling based on Textron/GrafTech/SGL programme delivery histories; A350/777X rate ramp public OEM guidance]</w:t>
      </w:r>
    </w:p>
    <w:p>
      <w:pPr>
        <w:spacing w:before="80" w:after="0"/>
      </w:pPr>
    </w:p>
    <w:p>
      <w:pPr>
        <w:pStyle w:val="Heading1"/>
        <w:pBdr>
          <w:bottom w:val="single" w:color="2E75B6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 Supplier Financial Distress — Added Risk Vector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F8F00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/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BF8F00"/>
                <w:sz w:val="17"/>
                <w:szCs w:val="17"/>
              </w:rPr>
              <w:t xml:space="preserve">MONTE CARLO ADDITION: SUPPLIER FINANCIAL DISTRESS VECTOR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The v1.0 model noted 'Teijin financial health declining' without quantifying the risk. The v1.1 Monte Carlo model adds a Supplier Financial Distress vector:
Vector: Teijin Carbon (HTS40/HTS45) or Solvay composites division financial distress event
Distribution: Bernoulli p=0.12
Base Rate: 12% over 24 months
Impact: Precipitous inventory drawdown, forced requalification of all programmes on HTS40/HTS45 to Toray T800 equivalent — a 12–18 month requalification process costing $3–8M per affected programme
This vector is critical for PE clients assessing credit risk of portfolio companies whose suppliers include Teijin or Solvay composites. The 12% probability reflects Teijin Group's declining financial metrics reported in investor filings 2023–2025. [Source: Teijin Group annual reports 2023, 2024; Solvay composites separation announcement 2023]</w:t>
            </w:r>
          </w:p>
        </w:tc>
      </w:tr>
    </w:tbl>
    <w:p>
      <w:pPr>
        <w:spacing w:before="80" w:after="0"/>
      </w:pPr>
    </w:p>
    <w:p>
      <w:pPr>
        <w:pStyle w:val="Heading1"/>
        <w:pBdr>
          <w:bottom w:val="single" w:color="2E75B6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360"/>
        <w:gridCol w:w="1200"/>
        <w:gridCol w:w="120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Timeframe</w:t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Cost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Reduction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0–6 months</w:t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Negotiate 18-month PAN/prepreg inventory buffer with Toray under long-term pricing agreement — include Hexcel 8552 prepreg in same negotiation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$8–20M inventory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Reduces P90 exposure from $312M to ~$180M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3–12 months</w:t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Coordinate C/C composite CVI slot scheduling with Report 04 hypersonic programme offices at Textron and GrafTech — joint scheduling eliminates ~40% of capacity conflict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Coordination cost only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Resolves cross-domain nexus; zero capital cost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8F00"/>
                <w:sz w:val="18"/>
                <w:szCs w:val="18"/>
              </w:rPr>
              <w:t xml:space="preserve">HIGH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6–18 months</w:t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Initiate domestic PAN precursor qualification with SGL Carbon and Dralon — approach UK ATI and EU Clean Aviation JU for match funding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$6–15M gov. co-fund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Reduces Japan single-country PAN dependency from ~80% to ~50%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3–12 months</w:t>
            </w:r>
          </w:p>
        </w:tc>
        <w:tc>
          <w:tcPr>
            <w:tcW w:type="dxa" w:w="4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Qualify secondary prepreg supplier (Teijin Carbon America or Toray Composites Tacoma) to break Hexcel/Solvay duopoly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$3–8M qualification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Structural duopoly fix; 3-year horizon</w:t>
            </w:r>
          </w:p>
        </w:tc>
      </w:tr>
    </w:tbl>
    <w:p>
      <w:pPr>
        <w:spacing w:before="160" w:after="0"/>
      </w:pPr>
    </w:p>
    <w:p>
      <w:pPr>
        <w:pStyle w:val="Heading1"/>
        <w:pBdr>
          <w:bottom w:val="single" w:color="2E75B6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 Data Sources &amp; Citations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true"/>
          <w:bCs w:val="true"/>
          <w:color w:val="000000"/>
          <w:sz w:val="18"/>
          <w:szCs w:val="18"/>
        </w:rPr>
        <w:t xml:space="preserve">PAN precursor market and fashion industry connection: </w:t>
      </w:r>
      <w:r>
        <w:rPr>
          <w:rFonts w:ascii="Arial" w:cs="Arial" w:eastAsia="Arial" w:hAnsi="Arial"/>
          <w:b w:val="a"/>
          <w:bCs w:val="a"/>
          <w:color w:val="000000"/>
          <w:sz w:val="18"/>
          <w:szCs w:val="18"/>
        </w:rPr>
        <w:t xml:space="preserve">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true"/>
          <w:bCs w:val="true"/>
          <w:color w:val="000000"/>
          <w:sz w:val="18"/>
          <w:szCs w:val="18"/>
        </w:rPr>
        <w:t xml:space="preserve">Teijin financial health: </w:t>
      </w:r>
      <w:r>
        <w:rPr>
          <w:rFonts w:ascii="Arial" w:cs="Arial" w:eastAsia="Arial" w:hAnsi="Arial"/>
          <w:b w:val="e"/>
          <w:bCs w:val="e"/>
          <w:color w:val="000000"/>
          <w:sz w:val="18"/>
          <w:szCs w:val="18"/>
        </w:rPr>
        <w:t xml:space="preserve">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true"/>
          <w:bCs w:val="true"/>
          <w:color w:val="000000"/>
          <w:sz w:val="18"/>
          <w:szCs w:val="18"/>
        </w:rPr>
        <w:t xml:space="preserve">Solvay composites: </w:t>
      </w:r>
      <w:r>
        <w:rPr>
          <w:rFonts w:ascii="Arial" w:cs="Arial" w:eastAsia="Arial" w:hAnsi="Arial"/>
          <w:b w:val="o"/>
          <w:bCs w:val="o"/>
          <w:color w:val="000000"/>
          <w:sz w:val="18"/>
          <w:szCs w:val="18"/>
        </w:rPr>
        <w:t xml:space="preserve">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true"/>
          <w:bCs w:val="true"/>
          <w:color w:val="000000"/>
          <w:sz w:val="18"/>
          <w:szCs w:val="18"/>
        </w:rPr>
        <w:t xml:space="preserve">A350/777X rate guidance: </w:t>
      </w:r>
      <w:r>
        <w:rPr>
          <w:rFonts w:ascii="Arial" w:cs="Arial" w:eastAsia="Arial" w:hAnsi="Arial"/>
          <w:b w:val="o"/>
          <w:bCs w:val="o"/>
          <w:color w:val="000000"/>
          <w:sz w:val="18"/>
          <w:szCs w:val="18"/>
        </w:rPr>
        <w:t xml:space="preserve">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true"/>
          <w:bCs w:val="true"/>
          <w:color w:val="000000"/>
          <w:sz w:val="18"/>
          <w:szCs w:val="18"/>
        </w:rPr>
        <w:t xml:space="preserve">CVI capacity contention model: </w:t>
      </w:r>
      <w:r>
        <w:rPr>
          <w:rFonts w:ascii="Arial" w:cs="Arial" w:eastAsia="Arial" w:hAnsi="Arial"/>
          <w:b w:val="e"/>
          <w:bCs w:val="e"/>
          <w:color w:val="000000"/>
          <w:sz w:val="18"/>
          <w:szCs w:val="18"/>
        </w:rPr>
        <w:t xml:space="preserve">D</w:t>
      </w:r>
    </w:p>
    <w:p>
      <w:pPr>
        <w:spacing w:before="160" w:after="0"/>
      </w:pPr>
    </w:p>
    <w:p>
      <w:pPr>
        <w:pStyle w:val="Heading1"/>
        <w:pBdr>
          <w:bottom w:val="single" w:color="2E75B6" w:sz="6" w:space="4"/>
        </w:pBdr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  Version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00"/>
        <w:gridCol w:w="1200"/>
        <w:gridCol w:w="1560"/>
        <w:gridCol w:w="2200"/>
      </w:tblGrid>
      <w:tr>
        <w:trPr>
          <w:tblHeader/>
        </w:trP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05_Aerospace_Composites_Risk_2026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v1.0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March 2026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Emre Yusuf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05_Aerospace_Composites_Risk_2026</w:t>
            </w:r>
          </w:p>
        </w:tc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v1.1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March 2026</w:t>
            </w:r>
          </w:p>
        </w:tc>
        <w:tc>
          <w:tcPr>
            <w:tcW w:type="dxa" w:w="1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Emre Yusuf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 root-cause analysis added (fashion industry structural connection); Hypersonic Nexus capacity contention table added with quantified lead time impacts; Teijin/Solvay financial distress Monte Carlo vector added (12% prob.); all data sources cited. Author: Emre Yusuf</w:t>
            </w:r>
          </w:p>
        </w:tc>
      </w:tr>
    </w:tbl>
    <w:p>
      <w:pPr>
        <w:spacing w:before="80" w:after="0"/>
      </w:pP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color w:val="7F7F7F"/>
          <w:sz w:val="16"/>
          <w:szCs w:val="16"/>
        </w:rPr>
        <w:t xml:space="preserve">© 2026 Emre Yusuf. All rights reserved.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CE4" w:sz="4" w:space="2"/>
      </w:pBdr>
      <w:tabs>
        <w:tab w:val="center" w:pos="4680"/>
        <w:tab w:val="right" w:pos="9026"/>
      </w:tabs>
      <w:spacing w:before="60" w:after="0"/>
    </w:pPr>
    <w:r>
      <w:rPr>
        <w:rFonts w:ascii="Arial" w:cs="Arial" w:eastAsia="Arial" w:hAnsi="Arial"/>
        <w:b w:val="false"/>
        <w:bCs w:val="false"/>
        <w:color w:val="7F7F7F"/>
        <w:sz w:val="14"/>
        <w:szCs w:val="14"/>
      </w:rPr>
      <w:t xml:space="preserve">Author: Emre Yusuf  |  RESTRICTED — COMMERCIAL IN CONFIDENCE  |  v1.1</w:t>
    </w:r>
    <w:r>
      <w:rPr>
        <w:rFonts w:ascii="Arial" w:cs="Arial" w:eastAsia="Arial" w:hAnsi="Arial"/>
        <w:b w:val="false"/>
        <w:bCs w:val="false"/>
        <w:color w:val="000000"/>
        <w:sz w:val="14"/>
        <w:szCs w:val="14"/>
      </w:rPr>
      <w:t xml:space="preserve">	</w:t>
    </w:r>
    <w:r>
      <w:rPr>
        <w:rFonts w:ascii="Arial" w:cs="Arial" w:eastAsia="Arial" w:hAnsi="Arial"/>
        <w:b w:val="false"/>
        <w:bCs w:val="false"/>
        <w:color w:val="7F7F7F"/>
        <w:sz w:val="14"/>
        <w:szCs w:val="14"/>
      </w:rPr>
      <w:t xml:space="preserve">Page </w:t>
    </w:r>
    <w:r>
      <w:rPr>
        <w:rFonts w:ascii="Arial" w:cs="Arial" w:hAnsi="Arial"/>
        <w:color w:val="7F7F7F"/>
        <w:sz w:val="14"/>
        <w:szCs w:val="14"/>
      </w:rPr>
      <w:fldChar w:fldCharType="begin"/>
    </w:r>
    <w:r>
      <w:rPr>
        <w:rFonts w:ascii="Arial" w:cs="Arial" w:hAnsi="Arial"/>
        <w:color w:val="7F7F7F"/>
        <w:sz w:val="14"/>
        <w:szCs w:val="14"/>
      </w:rPr>
      <w:instrText xml:space="preserve"> PAGE </w:instrText>
    </w:r>
    <w:r>
      <w:rPr>
        <w:rFonts w:ascii="Arial" w:cs="Arial" w:hAnsi="Arial"/>
        <w:color w:val="7F7F7F"/>
        <w:sz w:val="14"/>
        <w:szCs w:val="14"/>
      </w:rPr>
      <w:fldChar w:fldCharType="end"/>
    </w:r>
    <w:r>
      <w:rPr>
        <w:rFonts w:ascii="Arial" w:cs="Arial" w:eastAsia="Arial" w:hAnsi="Arial"/>
        <w:b w:val="false"/>
        <w:bCs w:val="false"/>
        <w:color w:val="7F7F7F"/>
        <w:sz w:val="14"/>
        <w:szCs w:val="14"/>
      </w:rPr>
      <w:t xml:space="preserve">	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tabs>
        <w:tab w:val="right" w:pos="9026"/>
      </w:tabs>
      <w:spacing w:before="0" w:after="6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2026 STRATEGIC RISK INTELLIGENCE SUITE  ·  AEROSPACE SECTOR</w:t>
    </w:r>
    <w:r>
      <w:rPr>
        <w:rFonts w:ascii="Arial" w:cs="Arial" w:eastAsia="Arial" w:hAnsi="Arial"/>
        <w:b w:val="false"/>
        <w:bCs w:val="false"/>
        <w:color w:val="595959"/>
        <w:sz w:val="16"/>
        <w:szCs w:val="16"/>
      </w:rPr>
      <w:t xml:space="preserve">	Commercial Aircraft Composite Materials Risk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2026-03-25T10:27:58.157Z</dcterms:created>
  <dcterms:modified xsi:type="dcterms:W3CDTF">2026-03-25T10:27:58.157Z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