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Market Partner Alexa Plus Submission Blueprint</w:t>
      </w:r>
    </w:p>
    <w:p>
      <w:pPr>
        <w:pStyle w:val="Deck"/>
      </w:pPr>
      <w:r>
        <w:t>Research based product definition and delivery plan for the Build Ship Shape Amazon Developer Hackathon</w:t>
      </w:r>
    </w:p>
    <w:p>
      <w:pPr>
        <w:pStyle w:val="Small"/>
      </w:pPr>
      <w:r>
        <w:t>Prepared for Tom Mathew and team at NIT Rourkela  |  10 October 2026</w:t>
      </w:r>
    </w:p>
    <w:p>
      <w:pPr>
        <w:pStyle w:val="Heading1"/>
      </w:pPr>
      <w:r>
        <w:t>Decision and scope</w:t>
      </w:r>
    </w:p>
    <w:p>
      <w:r>
        <w:t>Build an India focused, voice led research companion for self directed retail investors who use more than one broker. A user asks about one NSE or BSE listed company. Market Partner retrieves the user’s holdings, assembles dated company disclosures, presents the case and countercase, calculates how a proposed purchase would change combined exposure, and only after an explicit user decision submits a simulated order to the Upstox sandbox. The experience runs in the team’s own Alexa Plus style web interface, backed by a working MCP server.</w:t>
      </w:r>
    </w:p>
    <w:p>
      <w:r>
        <w:t>This is a competition prototype, not a claim that Amazon has opened native Alexa Plus access or that a student team can launch a universal brokerage. The winning argument is a complete, evidence traceable decision workflow. Multi broker data is meaningful only if it changes the answer the user receives. [1][2][4][7][8]</w:t>
      </w:r>
    </w:p>
    <w:p>
      <w:pPr>
        <w:pStyle w:val="Heading1"/>
      </w:pPr>
      <w:r>
        <w:t>Why this problem is worth solving</w:t>
      </w:r>
    </w:p>
    <w:p>
      <w:r>
        <w:t>The narrow user is a self directed investor with holdings in two brokerages who wants to evaluate one additional cash equity purchase. Today the investor must move between broker dashboards, company disclosures, search results and notes. A voice interface can reduce the navigation burden while a screen preserves citations and numbers. Public Reddit posts describe difficulty keeping up with results for a 25 to 30 stock portfolio and frustration switching between platforms to see total holdings. These are qualitative problem signals, not prevalence estimates. [14][15]</w:t>
      </w:r>
    </w:p>
    <w:p>
      <w:r>
        <w:t>The product should help the user answer four questions: What changed at the company? What evidence weakens my thesis? Do I already own this company or sector elsewhere? What exactly would a proposed purchase do to my exposure? The final decision remains the user’s.</w:t>
      </w:r>
    </w:p>
    <w:p>
      <w:pPr>
        <w:pStyle w:val="Heading1"/>
      </w:pPr>
      <w:r>
        <w:t>Competitive reality and positioning</w:t>
      </w:r>
    </w:p>
    <w:tbl>
      <w:tblPr>
        <w:tblW w:type="auto" w:w="0"/>
        <w:jc w:val="center"/>
        <w:tblLayout w:type="fixed"/>
        <w:tblLook w:firstColumn="1" w:firstRow="1" w:lastColumn="0" w:lastRow="0" w:noHBand="0" w:noVBand="1" w:val="04A0"/>
      </w:tblPr>
      <w:tblGrid>
        <w:gridCol w:w="2088"/>
        <w:gridCol w:w="3312"/>
        <w:gridCol w:w="4104"/>
      </w:tblGrid>
      <w:tr>
        <w:trPr>
          <w:tblHeader w:val="true"/>
        </w:trPr>
        <w:tc>
          <w:tcPr>
            <w:tcW w:type="dxa" w:w="3202"/>
            <w:shd w:fill="263746"/>
            <w:vAlign w:val="center"/>
            <w:tcBorders>
              <w:top w:val="single" w:sz="4" w:color="D9D9D9"/>
              <w:left w:val="single" w:sz="4" w:color="D9D9D9"/>
              <w:bottom w:val="single" w:sz="4" w:color="D9D9D9"/>
              <w:right w:val="single" w:sz="4" w:color="D9D9D9"/>
            </w:tcBorders>
            <w:tcMar>
              <w:top w:w="75" w:type="dxa"/>
              <w:start w:w="95" w:type="dxa"/>
              <w:bottom w:w="75" w:type="dxa"/>
              <w:end w:w="95" w:type="dxa"/>
            </w:tcMar>
          </w:tcPr>
          <w:p>
            <w:r>
              <w:rPr>
                <w:b/>
                <w:color w:val="FFFFFF"/>
                <w:sz w:val="17"/>
              </w:rPr>
              <w:t>Existing product</w:t>
            </w:r>
          </w:p>
        </w:tc>
        <w:tc>
          <w:tcPr>
            <w:tcW w:type="dxa" w:w="3202"/>
            <w:shd w:fill="263746"/>
            <w:vAlign w:val="center"/>
            <w:tcBorders>
              <w:top w:val="single" w:sz="4" w:color="D9D9D9"/>
              <w:left w:val="single" w:sz="4" w:color="D9D9D9"/>
              <w:bottom w:val="single" w:sz="4" w:color="D9D9D9"/>
              <w:right w:val="single" w:sz="4" w:color="D9D9D9"/>
            </w:tcBorders>
            <w:tcMar>
              <w:top w:w="75" w:type="dxa"/>
              <w:start w:w="95" w:type="dxa"/>
              <w:bottom w:w="75" w:type="dxa"/>
              <w:end w:w="95" w:type="dxa"/>
            </w:tcMar>
          </w:tcPr>
          <w:p>
            <w:r>
              <w:rPr>
                <w:b/>
                <w:color w:val="FFFFFF"/>
                <w:sz w:val="17"/>
              </w:rPr>
              <w:t>What already exists</w:t>
            </w:r>
          </w:p>
        </w:tc>
        <w:tc>
          <w:tcPr>
            <w:tcW w:type="dxa" w:w="3202"/>
            <w:shd w:fill="263746"/>
            <w:vAlign w:val="center"/>
            <w:tcBorders>
              <w:top w:val="single" w:sz="4" w:color="D9D9D9"/>
              <w:left w:val="single" w:sz="4" w:color="D9D9D9"/>
              <w:bottom w:val="single" w:sz="4" w:color="D9D9D9"/>
              <w:right w:val="single" w:sz="4" w:color="D9D9D9"/>
            </w:tcBorders>
            <w:tcMar>
              <w:top w:w="75" w:type="dxa"/>
              <w:start w:w="95" w:type="dxa"/>
              <w:bottom w:w="75" w:type="dxa"/>
              <w:end w:w="95" w:type="dxa"/>
            </w:tcMar>
          </w:tcPr>
          <w:p>
            <w:r>
              <w:rPr>
                <w:b/>
                <w:color w:val="FFFFFF"/>
                <w:sz w:val="17"/>
              </w:rPr>
              <w:t>Implication for Market Partner</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start w:w="95" w:type="dxa"/>
              <w:bottom w:w="75" w:type="dxa"/>
              <w:end w:w="95" w:type="dxa"/>
            </w:tcMar>
          </w:tcPr>
          <w:p>
            <w:pPr>
              <w:spacing w:after="0" w:line="259" w:lineRule="auto"/>
            </w:pPr>
            <w:r>
              <w:rPr>
                <w:sz w:val="16"/>
              </w:rPr>
              <w:t>SnapTrade MCP</w:t>
            </w:r>
          </w:p>
        </w:tc>
        <w:tc>
          <w:tcPr>
            <w:tcW w:type="dxa" w:w="3312"/>
            <w:vAlign w:val="center"/>
            <w:tcBorders>
              <w:top w:val="single" w:sz="4" w:color="D9D9D9"/>
              <w:left w:val="single" w:sz="4" w:color="D9D9D9"/>
              <w:bottom w:val="single" w:sz="4" w:color="D9D9D9"/>
              <w:right w:val="single" w:sz="4" w:color="D9D9D9"/>
            </w:tcBorders>
            <w:tcMar>
              <w:top w:w="75" w:type="dxa"/>
              <w:start w:w="95" w:type="dxa"/>
              <w:bottom w:w="75" w:type="dxa"/>
              <w:end w:w="95" w:type="dxa"/>
            </w:tcMar>
          </w:tcPr>
          <w:p>
            <w:pPr>
              <w:spacing w:after="0" w:line="259" w:lineRule="auto"/>
            </w:pPr>
            <w:r>
              <w:rPr>
                <w:sz w:val="16"/>
              </w:rPr>
              <w:t>Read only balances, positions, orders and connection links across brokerages. [4]</w:t>
            </w:r>
          </w:p>
        </w:tc>
        <w:tc>
          <w:tcPr>
            <w:tcW w:type="dxa" w:w="4104"/>
            <w:vAlign w:val="center"/>
            <w:tcBorders>
              <w:top w:val="single" w:sz="4" w:color="D9D9D9"/>
              <w:left w:val="single" w:sz="4" w:color="D9D9D9"/>
              <w:bottom w:val="single" w:sz="4" w:color="D9D9D9"/>
              <w:right w:val="single" w:sz="4" w:color="D9D9D9"/>
            </w:tcBorders>
            <w:tcMar>
              <w:top w:w="75" w:type="dxa"/>
              <w:start w:w="95" w:type="dxa"/>
              <w:bottom w:w="75" w:type="dxa"/>
              <w:end w:w="95" w:type="dxa"/>
            </w:tcMar>
          </w:tcPr>
          <w:p>
            <w:pPr>
              <w:spacing w:after="0" w:line="259" w:lineRule="auto"/>
            </w:pPr>
            <w:r>
              <w:rPr>
                <w:sz w:val="16"/>
              </w:rPr>
              <w:t>A cross broker holdings query alone is already implemented. Add evidence, exposure impact and a coherent decision flow.</w:t>
            </w:r>
          </w:p>
        </w:tc>
      </w:tr>
      <w:tr>
        <w:trPr>
          <w:cantSplit/>
        </w:trPr>
        <w:tc>
          <w:tcPr>
            <w:tcW w:type="dxa" w:w="2088"/>
            <w:vAlign w:val="center"/>
            <w:shd w:fill="F3F6F8"/>
            <w:tcBorders>
              <w:top w:val="single" w:sz="4" w:color="D9D9D9"/>
              <w:left w:val="single" w:sz="4" w:color="D9D9D9"/>
              <w:bottom w:val="single" w:sz="4" w:color="D9D9D9"/>
              <w:right w:val="single" w:sz="4" w:color="D9D9D9"/>
            </w:tcBorders>
            <w:tcMar>
              <w:top w:w="75" w:type="dxa"/>
              <w:start w:w="95" w:type="dxa"/>
              <w:bottom w:w="75" w:type="dxa"/>
              <w:end w:w="95" w:type="dxa"/>
            </w:tcMar>
          </w:tcPr>
          <w:p>
            <w:pPr>
              <w:spacing w:after="0" w:line="259" w:lineRule="auto"/>
            </w:pPr>
            <w:r>
              <w:rPr>
                <w:sz w:val="16"/>
              </w:rPr>
              <w:t>Upstox Agent Skills</w:t>
            </w:r>
          </w:p>
        </w:tc>
        <w:tc>
          <w:tcPr>
            <w:tcW w:type="dxa" w:w="3312"/>
            <w:vAlign w:val="center"/>
            <w:shd w:fill="F3F6F8"/>
            <w:tcBorders>
              <w:top w:val="single" w:sz="4" w:color="D9D9D9"/>
              <w:left w:val="single" w:sz="4" w:color="D9D9D9"/>
              <w:bottom w:val="single" w:sz="4" w:color="D9D9D9"/>
              <w:right w:val="single" w:sz="4" w:color="D9D9D9"/>
            </w:tcBorders>
            <w:tcMar>
              <w:top w:w="75" w:type="dxa"/>
              <w:start w:w="95" w:type="dxa"/>
              <w:bottom w:w="75" w:type="dxa"/>
              <w:end w:w="95" w:type="dxa"/>
            </w:tcMar>
          </w:tcPr>
          <w:p>
            <w:pPr>
              <w:spacing w:after="0" w:line="259" w:lineRule="auto"/>
            </w:pPr>
            <w:r>
              <w:rPr>
                <w:sz w:val="16"/>
              </w:rPr>
              <w:t>Natural language Upstox trading, market data, portfolio access, confirmations and sandbox mode. [7]</w:t>
            </w:r>
          </w:p>
        </w:tc>
        <w:tc>
          <w:tcPr>
            <w:tcW w:type="dxa" w:w="4104"/>
            <w:vAlign w:val="center"/>
            <w:shd w:fill="F3F6F8"/>
            <w:tcBorders>
              <w:top w:val="single" w:sz="4" w:color="D9D9D9"/>
              <w:left w:val="single" w:sz="4" w:color="D9D9D9"/>
              <w:bottom w:val="single" w:sz="4" w:color="D9D9D9"/>
              <w:right w:val="single" w:sz="4" w:color="D9D9D9"/>
            </w:tcBorders>
            <w:tcMar>
              <w:top w:w="75" w:type="dxa"/>
              <w:start w:w="95" w:type="dxa"/>
              <w:bottom w:w="75" w:type="dxa"/>
              <w:end w:w="95" w:type="dxa"/>
            </w:tcMar>
          </w:tcPr>
          <w:p>
            <w:pPr>
              <w:spacing w:after="0" w:line="259" w:lineRule="auto"/>
            </w:pPr>
            <w:r>
              <w:rPr>
                <w:sz w:val="16"/>
              </w:rPr>
              <w:t>Voice ordering and sandbox execution are infrastructure, not the novelty.</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start w:w="95" w:type="dxa"/>
              <w:bottom w:w="75" w:type="dxa"/>
              <w:end w:w="95" w:type="dxa"/>
            </w:tcMar>
          </w:tcPr>
          <w:p>
            <w:pPr>
              <w:spacing w:after="0" w:line="259" w:lineRule="auto"/>
            </w:pPr>
            <w:r>
              <w:rPr>
                <w:sz w:val="16"/>
              </w:rPr>
              <w:t>Public Alpha and Agents</w:t>
            </w:r>
          </w:p>
        </w:tc>
        <w:tc>
          <w:tcPr>
            <w:tcW w:type="dxa" w:w="3312"/>
            <w:vAlign w:val="center"/>
            <w:tcBorders>
              <w:top w:val="single" w:sz="4" w:color="D9D9D9"/>
              <w:left w:val="single" w:sz="4" w:color="D9D9D9"/>
              <w:bottom w:val="single" w:sz="4" w:color="D9D9D9"/>
              <w:right w:val="single" w:sz="4" w:color="D9D9D9"/>
            </w:tcBorders>
            <w:tcMar>
              <w:top w:w="75" w:type="dxa"/>
              <w:start w:w="95" w:type="dxa"/>
              <w:bottom w:w="75" w:type="dxa"/>
              <w:end w:w="95" w:type="dxa"/>
            </w:tcMar>
          </w:tcPr>
          <w:p>
            <w:pPr>
              <w:spacing w:after="0" w:line="259" w:lineRule="auto"/>
            </w:pPr>
            <w:r>
              <w:rPr>
                <w:sz w:val="16"/>
              </w:rPr>
              <w:t>AI research using filings and market data, plus user defined agent workflows within Public. [10][19]</w:t>
            </w:r>
          </w:p>
        </w:tc>
        <w:tc>
          <w:tcPr>
            <w:tcW w:type="dxa" w:w="4104"/>
            <w:vAlign w:val="center"/>
            <w:tcBorders>
              <w:top w:val="single" w:sz="4" w:color="D9D9D9"/>
              <w:left w:val="single" w:sz="4" w:color="D9D9D9"/>
              <w:bottom w:val="single" w:sz="4" w:color="D9D9D9"/>
              <w:right w:val="single" w:sz="4" w:color="D9D9D9"/>
            </w:tcBorders>
            <w:tcMar>
              <w:top w:w="75" w:type="dxa"/>
              <w:start w:w="95" w:type="dxa"/>
              <w:bottom w:w="75" w:type="dxa"/>
              <w:end w:w="95" w:type="dxa"/>
            </w:tcMar>
          </w:tcPr>
          <w:p>
            <w:pPr>
              <w:spacing w:after="0" w:line="259" w:lineRule="auto"/>
            </w:pPr>
            <w:r>
              <w:rPr>
                <w:sz w:val="16"/>
              </w:rPr>
              <w:t>AI stock research and trading already exist in a broker product; show why independent cross account context matters.</w:t>
            </w:r>
          </w:p>
        </w:tc>
      </w:tr>
      <w:tr>
        <w:trPr>
          <w:cantSplit/>
        </w:trPr>
        <w:tc>
          <w:tcPr>
            <w:tcW w:type="dxa" w:w="2088"/>
            <w:vAlign w:val="center"/>
            <w:shd w:fill="F3F6F8"/>
            <w:tcBorders>
              <w:top w:val="single" w:sz="4" w:color="D9D9D9"/>
              <w:left w:val="single" w:sz="4" w:color="D9D9D9"/>
              <w:bottom w:val="single" w:sz="4" w:color="D9D9D9"/>
              <w:right w:val="single" w:sz="4" w:color="D9D9D9"/>
            </w:tcBorders>
            <w:tcMar>
              <w:top w:w="75" w:type="dxa"/>
              <w:start w:w="95" w:type="dxa"/>
              <w:bottom w:w="75" w:type="dxa"/>
              <w:end w:w="95" w:type="dxa"/>
            </w:tcMar>
          </w:tcPr>
          <w:p>
            <w:pPr>
              <w:spacing w:after="0" w:line="259" w:lineRule="auto"/>
            </w:pPr>
            <w:r>
              <w:rPr>
                <w:sz w:val="16"/>
              </w:rPr>
              <w:t>Magnifi</w:t>
            </w:r>
          </w:p>
        </w:tc>
        <w:tc>
          <w:tcPr>
            <w:tcW w:type="dxa" w:w="3312"/>
            <w:vAlign w:val="center"/>
            <w:shd w:fill="F3F6F8"/>
            <w:tcBorders>
              <w:top w:val="single" w:sz="4" w:color="D9D9D9"/>
              <w:left w:val="single" w:sz="4" w:color="D9D9D9"/>
              <w:bottom w:val="single" w:sz="4" w:color="D9D9D9"/>
              <w:right w:val="single" w:sz="4" w:color="D9D9D9"/>
            </w:tcBorders>
            <w:tcMar>
              <w:top w:w="75" w:type="dxa"/>
              <w:start w:w="95" w:type="dxa"/>
              <w:bottom w:w="75" w:type="dxa"/>
              <w:end w:w="95" w:type="dxa"/>
            </w:tcMar>
          </w:tcPr>
          <w:p>
            <w:pPr>
              <w:spacing w:after="0" w:line="259" w:lineRule="auto"/>
            </w:pPr>
            <w:r>
              <w:rPr>
                <w:sz w:val="16"/>
              </w:rPr>
              <w:t>AI investment search and assistant with external account tracking. [11]</w:t>
            </w:r>
          </w:p>
        </w:tc>
        <w:tc>
          <w:tcPr>
            <w:tcW w:type="dxa" w:w="4104"/>
            <w:vAlign w:val="center"/>
            <w:shd w:fill="F3F6F8"/>
            <w:tcBorders>
              <w:top w:val="single" w:sz="4" w:color="D9D9D9"/>
              <w:left w:val="single" w:sz="4" w:color="D9D9D9"/>
              <w:bottom w:val="single" w:sz="4" w:color="D9D9D9"/>
              <w:right w:val="single" w:sz="4" w:color="D9D9D9"/>
            </w:tcBorders>
            <w:tcMar>
              <w:top w:w="75" w:type="dxa"/>
              <w:start w:w="95" w:type="dxa"/>
              <w:bottom w:w="75" w:type="dxa"/>
              <w:end w:w="95" w:type="dxa"/>
            </w:tcMar>
          </w:tcPr>
          <w:p>
            <w:pPr>
              <w:spacing w:after="0" w:line="259" w:lineRule="auto"/>
            </w:pPr>
            <w:r>
              <w:rPr>
                <w:sz w:val="16"/>
              </w:rPr>
              <w:t>Do not claim to be the first multi broker AI investing assistant.</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start w:w="95" w:type="dxa"/>
              <w:bottom w:w="75" w:type="dxa"/>
              <w:end w:w="95" w:type="dxa"/>
            </w:tcMar>
          </w:tcPr>
          <w:p>
            <w:pPr>
              <w:spacing w:after="0" w:line="259" w:lineRule="auto"/>
            </w:pPr>
            <w:r>
              <w:rPr>
                <w:sz w:val="16"/>
              </w:rPr>
              <w:t>VoiceLedger hackathon entry</w:t>
            </w:r>
          </w:p>
        </w:tc>
        <w:tc>
          <w:tcPr>
            <w:tcW w:type="dxa" w:w="3312"/>
            <w:vAlign w:val="center"/>
            <w:tcBorders>
              <w:top w:val="single" w:sz="4" w:color="D9D9D9"/>
              <w:left w:val="single" w:sz="4" w:color="D9D9D9"/>
              <w:bottom w:val="single" w:sz="4" w:color="D9D9D9"/>
              <w:right w:val="single" w:sz="4" w:color="D9D9D9"/>
            </w:tcBorders>
            <w:tcMar>
              <w:top w:w="75" w:type="dxa"/>
              <w:start w:w="95" w:type="dxa"/>
              <w:bottom w:w="75" w:type="dxa"/>
              <w:end w:w="95" w:type="dxa"/>
            </w:tcMar>
          </w:tcPr>
          <w:p>
            <w:pPr>
              <w:spacing w:after="0" w:line="259" w:lineRule="auto"/>
            </w:pPr>
            <w:r>
              <w:rPr>
                <w:sz w:val="16"/>
              </w:rPr>
              <w:t>A working voice first finance MCP submission focused on expense logging. [16]</w:t>
            </w:r>
          </w:p>
        </w:tc>
        <w:tc>
          <w:tcPr>
            <w:tcW w:type="dxa" w:w="4104"/>
            <w:vAlign w:val="center"/>
            <w:tcBorders>
              <w:top w:val="single" w:sz="4" w:color="D9D9D9"/>
              <w:left w:val="single" w:sz="4" w:color="D9D9D9"/>
              <w:bottom w:val="single" w:sz="4" w:color="D9D9D9"/>
              <w:right w:val="single" w:sz="4" w:color="D9D9D9"/>
            </w:tcBorders>
            <w:tcMar>
              <w:top w:w="75" w:type="dxa"/>
              <w:start w:w="95" w:type="dxa"/>
              <w:bottom w:w="75" w:type="dxa"/>
              <w:end w:w="95" w:type="dxa"/>
            </w:tcMar>
          </w:tcPr>
          <w:p>
            <w:pPr>
              <w:spacing w:after="0" w:line="259" w:lineRule="auto"/>
            </w:pPr>
            <w:r>
              <w:rPr>
                <w:sz w:val="16"/>
              </w:rPr>
              <w:t>Finance voice UX is in this competition; your differentiator must be the specific investing workflow.</w:t>
            </w:r>
          </w:p>
        </w:tc>
      </w:tr>
    </w:tbl>
    <w:p>
      <w:pPr>
        <w:spacing w:after="20"/>
      </w:pPr>
    </w:p>
    <w:p>
      <w:pPr>
        <w:pStyle w:val="Small"/>
      </w:pPr>
      <w:r>
        <w:t>As of 10 October, the official hackathon gallery says it has not been published. Individual Devpost pages can still be indexed. This scan identifies relevant examples but cannot establish that no similar entry exists. [3][16]</w:t>
      </w:r>
    </w:p>
    <w:p>
      <w:pPr>
        <w:pStyle w:val="Heading1"/>
      </w:pPr>
      <w:r>
        <w:t>Product promise and demo journey</w:t>
      </w:r>
    </w:p>
    <w:p>
      <w:r>
        <w:t>Positioning sentence: “Understand a stock in the context of everything you already own, hear the countercase, then rehearse your own decision safely.” Use “research companion” or “decision support” rather than “financial adviser,” “best stock picker,” or “trade with any broker.”</w:t>
      </w:r>
    </w:p>
    <w:p>
      <w:pPr>
        <w:pStyle w:val="Heading2"/>
      </w:pPr>
      <w:r>
        <w:t>The three minute story</w:t>
      </w:r>
    </w:p>
    <w:p>
      <w:pPr>
        <w:pStyle w:val="ListNumber"/>
        <w:spacing w:after="60"/>
      </w:pPr>
      <w:r>
        <w:t>The user asks: “I am considering buying more of [demo company]. What changed recently, and what would it do to my portfolio?”</w:t>
      </w:r>
    </w:p>
    <w:p>
      <w:pPr>
        <w:pStyle w:val="ListNumber"/>
        <w:spacing w:after="60"/>
      </w:pPr>
      <w:r>
        <w:t>Market Partner shows two dated, linked primary disclosures and a short spoken summary. It distinguishes reported facts from interpretation and flags missing data.</w:t>
      </w:r>
    </w:p>
    <w:p>
      <w:pPr>
        <w:pStyle w:val="ListNumber"/>
        <w:spacing w:after="60"/>
      </w:pPr>
      <w:r>
        <w:t>The user asks for the countercase. The agent cites at least one fact or uncertainty that weakens the thesis, rather than inventing a token “risk” paragraph.</w:t>
      </w:r>
    </w:p>
    <w:p>
      <w:pPr>
        <w:pStyle w:val="ListNumber"/>
        <w:spacing w:after="60"/>
      </w:pPr>
      <w:r>
        <w:t>The agent combines two linked accounts if available, shows current company and sector exposure, and calculates hypothetical post purchase exposure using deterministic code. If a connection is stale, it says so.</w:t>
      </w:r>
    </w:p>
    <w:p>
      <w:pPr>
        <w:pStyle w:val="ListNumber"/>
        <w:spacing w:after="60"/>
      </w:pPr>
      <w:r>
        <w:t>The user specifies quantity and limit price. A paper order preview names the instrument, venue, side, quantity, limit, approximate value, sandbox status and account. After explicit confirmation, the Upstox sandbox returns an order identifier and status.</w:t>
      </w:r>
    </w:p>
    <w:p>
      <w:r>
        <w:t>A full conversation should persist its selected company, source set and draft order, so a follow up such as “What if I bought half as much?” changes only the scenario, not the underlying facts. The spoken answer stays brief; the screen carries the detailed evidence.</w:t>
      </w:r>
    </w:p>
    <w:p>
      <w:pPr>
        <w:pStyle w:val="Heading1"/>
      </w:pPr>
      <w:r>
        <w:t>Technical plan</w:t>
      </w:r>
    </w:p>
    <w:tbl>
      <w:tblPr>
        <w:tblW w:type="auto" w:w="0"/>
        <w:jc w:val="center"/>
        <w:tblLayout w:type="fixed"/>
        <w:tblLook w:firstColumn="1" w:firstRow="1" w:lastColumn="0" w:lastRow="0" w:noHBand="0" w:noVBand="1" w:val="04A0"/>
      </w:tblPr>
      <w:tblGrid>
        <w:gridCol w:w="1800"/>
        <w:gridCol w:w="4032"/>
        <w:gridCol w:w="3672"/>
      </w:tblGrid>
      <w:tr>
        <w:trPr>
          <w:tblHeader w:val="true"/>
        </w:trPr>
        <w:tc>
          <w:tcPr>
            <w:tcW w:type="dxa" w:w="3202"/>
            <w:shd w:fill="263746"/>
            <w:vAlign w:val="center"/>
            <w:tcBorders>
              <w:top w:val="single" w:sz="4" w:color="D9D9D9"/>
              <w:left w:val="single" w:sz="4" w:color="D9D9D9"/>
              <w:bottom w:val="single" w:sz="4" w:color="D9D9D9"/>
              <w:right w:val="single" w:sz="4" w:color="D9D9D9"/>
            </w:tcBorders>
            <w:tcMar>
              <w:top w:w="75" w:type="dxa"/>
              <w:start w:w="95" w:type="dxa"/>
              <w:bottom w:w="75" w:type="dxa"/>
              <w:end w:w="95" w:type="dxa"/>
            </w:tcMar>
          </w:tcPr>
          <w:p>
            <w:r>
              <w:rPr>
                <w:b/>
                <w:color w:val="FFFFFF"/>
                <w:sz w:val="17"/>
              </w:rPr>
              <w:t>Layer</w:t>
            </w:r>
          </w:p>
        </w:tc>
        <w:tc>
          <w:tcPr>
            <w:tcW w:type="dxa" w:w="3202"/>
            <w:shd w:fill="263746"/>
            <w:vAlign w:val="center"/>
            <w:tcBorders>
              <w:top w:val="single" w:sz="4" w:color="D9D9D9"/>
              <w:left w:val="single" w:sz="4" w:color="D9D9D9"/>
              <w:bottom w:val="single" w:sz="4" w:color="D9D9D9"/>
              <w:right w:val="single" w:sz="4" w:color="D9D9D9"/>
            </w:tcBorders>
            <w:tcMar>
              <w:top w:w="75" w:type="dxa"/>
              <w:start w:w="95" w:type="dxa"/>
              <w:bottom w:w="75" w:type="dxa"/>
              <w:end w:w="95" w:type="dxa"/>
            </w:tcMar>
          </w:tcPr>
          <w:p>
            <w:r>
              <w:rPr>
                <w:b/>
                <w:color w:val="FFFFFF"/>
                <w:sz w:val="17"/>
              </w:rPr>
              <w:t>Recommended implementation</w:t>
            </w:r>
          </w:p>
        </w:tc>
        <w:tc>
          <w:tcPr>
            <w:tcW w:type="dxa" w:w="3202"/>
            <w:shd w:fill="263746"/>
            <w:vAlign w:val="center"/>
            <w:tcBorders>
              <w:top w:val="single" w:sz="4" w:color="D9D9D9"/>
              <w:left w:val="single" w:sz="4" w:color="D9D9D9"/>
              <w:bottom w:val="single" w:sz="4" w:color="D9D9D9"/>
              <w:right w:val="single" w:sz="4" w:color="D9D9D9"/>
            </w:tcBorders>
            <w:tcMar>
              <w:top w:w="75" w:type="dxa"/>
              <w:start w:w="95" w:type="dxa"/>
              <w:bottom w:w="75" w:type="dxa"/>
              <w:end w:w="95" w:type="dxa"/>
            </w:tcMar>
          </w:tcPr>
          <w:p>
            <w:r>
              <w:rPr>
                <w:b/>
                <w:color w:val="FFFFFF"/>
                <w:sz w:val="17"/>
              </w:rPr>
              <w:t>Why it matters</w:t>
            </w:r>
          </w:p>
        </w:tc>
      </w:tr>
      <w:tr>
        <w:trPr>
          <w:cantSplit/>
        </w:trPr>
        <w:tc>
          <w:tcPr>
            <w:tcW w:type="dxa" w:w="1800"/>
            <w:vAlign w:val="center"/>
            <w:tcBorders>
              <w:top w:val="single" w:sz="4" w:color="D9D9D9"/>
              <w:left w:val="single" w:sz="4" w:color="D9D9D9"/>
              <w:bottom w:val="single" w:sz="4" w:color="D9D9D9"/>
              <w:right w:val="single" w:sz="4" w:color="D9D9D9"/>
            </w:tcBorders>
            <w:tcMar>
              <w:top w:w="75" w:type="dxa"/>
              <w:start w:w="95" w:type="dxa"/>
              <w:bottom w:w="75" w:type="dxa"/>
              <w:end w:w="95" w:type="dxa"/>
            </w:tcMar>
          </w:tcPr>
          <w:p>
            <w:pPr>
              <w:spacing w:after="0" w:line="259" w:lineRule="auto"/>
            </w:pPr>
            <w:r>
              <w:rPr>
                <w:sz w:val="16"/>
              </w:rPr>
              <w:t>Voice and visual interface</w:t>
            </w:r>
          </w:p>
        </w:tc>
        <w:tc>
          <w:tcPr>
            <w:tcW w:type="dxa" w:w="4032"/>
            <w:vAlign w:val="center"/>
            <w:tcBorders>
              <w:top w:val="single" w:sz="4" w:color="D9D9D9"/>
              <w:left w:val="single" w:sz="4" w:color="D9D9D9"/>
              <w:bottom w:val="single" w:sz="4" w:color="D9D9D9"/>
              <w:right w:val="single" w:sz="4" w:color="D9D9D9"/>
            </w:tcBorders>
            <w:tcMar>
              <w:top w:w="75" w:type="dxa"/>
              <w:start w:w="95" w:type="dxa"/>
              <w:bottom w:w="75" w:type="dxa"/>
              <w:end w:w="95" w:type="dxa"/>
            </w:tcMar>
          </w:tcPr>
          <w:p>
            <w:pPr>
              <w:spacing w:after="0" w:line="259" w:lineRule="auto"/>
            </w:pPr>
            <w:r>
              <w:rPr>
                <w:sz w:val="16"/>
              </w:rPr>
              <w:t>Web microphone input where browser support permits, text fallback, concise spoken replies, source cards, exposure chart, clear PAPER MODE badge.</w:t>
            </w:r>
          </w:p>
        </w:tc>
        <w:tc>
          <w:tcPr>
            <w:tcW w:type="dxa" w:w="3672"/>
            <w:vAlign w:val="center"/>
            <w:tcBorders>
              <w:top w:val="single" w:sz="4" w:color="D9D9D9"/>
              <w:left w:val="single" w:sz="4" w:color="D9D9D9"/>
              <w:bottom w:val="single" w:sz="4" w:color="D9D9D9"/>
              <w:right w:val="single" w:sz="4" w:color="D9D9D9"/>
            </w:tcBorders>
            <w:tcMar>
              <w:top w:w="75" w:type="dxa"/>
              <w:start w:w="95" w:type="dxa"/>
              <w:bottom w:w="75" w:type="dxa"/>
              <w:end w:w="95" w:type="dxa"/>
            </w:tcMar>
          </w:tcPr>
          <w:p>
            <w:pPr>
              <w:spacing w:after="0" w:line="259" w:lineRule="auto"/>
            </w:pPr>
            <w:r>
              <w:rPr>
                <w:sz w:val="16"/>
              </w:rPr>
              <w:t>Shows a device appropriate conversation; text fallback keeps the demo usable.</w:t>
            </w:r>
          </w:p>
        </w:tc>
      </w:tr>
      <w:tr>
        <w:trPr>
          <w:cantSplit/>
        </w:trPr>
        <w:tc>
          <w:tcPr>
            <w:tcW w:type="dxa" w:w="1800"/>
            <w:vAlign w:val="center"/>
            <w:shd w:fill="F3F6F8"/>
            <w:tcBorders>
              <w:top w:val="single" w:sz="4" w:color="D9D9D9"/>
              <w:left w:val="single" w:sz="4" w:color="D9D9D9"/>
              <w:bottom w:val="single" w:sz="4" w:color="D9D9D9"/>
              <w:right w:val="single" w:sz="4" w:color="D9D9D9"/>
            </w:tcBorders>
            <w:tcMar>
              <w:top w:w="75" w:type="dxa"/>
              <w:start w:w="95" w:type="dxa"/>
              <w:bottom w:w="75" w:type="dxa"/>
              <w:end w:w="95" w:type="dxa"/>
            </w:tcMar>
          </w:tcPr>
          <w:p>
            <w:pPr>
              <w:spacing w:after="0" w:line="259" w:lineRule="auto"/>
            </w:pPr>
            <w:r>
              <w:rPr>
                <w:sz w:val="16"/>
              </w:rPr>
              <w:t>Agent runtime</w:t>
            </w:r>
          </w:p>
        </w:tc>
        <w:tc>
          <w:tcPr>
            <w:tcW w:type="dxa" w:w="4032"/>
            <w:vAlign w:val="center"/>
            <w:shd w:fill="F3F6F8"/>
            <w:tcBorders>
              <w:top w:val="single" w:sz="4" w:color="D9D9D9"/>
              <w:left w:val="single" w:sz="4" w:color="D9D9D9"/>
              <w:bottom w:val="single" w:sz="4" w:color="D9D9D9"/>
              <w:right w:val="single" w:sz="4" w:color="D9D9D9"/>
            </w:tcBorders>
            <w:tcMar>
              <w:top w:w="75" w:type="dxa"/>
              <w:start w:w="95" w:type="dxa"/>
              <w:bottom w:w="75" w:type="dxa"/>
              <w:end w:w="95" w:type="dxa"/>
            </w:tcMar>
          </w:tcPr>
          <w:p>
            <w:pPr>
              <w:spacing w:after="0" w:line="259" w:lineRule="auto"/>
            </w:pPr>
            <w:r>
              <w:rPr>
                <w:sz w:val="16"/>
              </w:rPr>
              <w:t>Amazon Bedrock Converse for multi turn reasoning and tool use; your backend bridges Bedrock tool calls to a self hosted MCP server over Streamable HTTP with protocol 2025-11-25 or later. [1][17]</w:t>
            </w:r>
          </w:p>
        </w:tc>
        <w:tc>
          <w:tcPr>
            <w:tcW w:type="dxa" w:w="3672"/>
            <w:vAlign w:val="center"/>
            <w:shd w:fill="F3F6F8"/>
            <w:tcBorders>
              <w:top w:val="single" w:sz="4" w:color="D9D9D9"/>
              <w:left w:val="single" w:sz="4" w:color="D9D9D9"/>
              <w:bottom w:val="single" w:sz="4" w:color="D9D9D9"/>
              <w:right w:val="single" w:sz="4" w:color="D9D9D9"/>
            </w:tcBorders>
            <w:tcMar>
              <w:top w:w="75" w:type="dxa"/>
              <w:start w:w="95" w:type="dxa"/>
              <w:bottom w:w="75" w:type="dxa"/>
              <w:end w:w="95" w:type="dxa"/>
            </w:tcMar>
          </w:tcPr>
          <w:p>
            <w:pPr>
              <w:spacing w:after="0" w:line="259" w:lineRule="auto"/>
            </w:pPr>
            <w:r>
              <w:rPr>
                <w:sz w:val="16"/>
              </w:rPr>
              <w:t>Demonstrates Amazon technology at runtime and qualifies for AWS Builder if documented.</w:t>
            </w:r>
          </w:p>
        </w:tc>
      </w:tr>
      <w:tr>
        <w:trPr>
          <w:cantSplit/>
        </w:trPr>
        <w:tc>
          <w:tcPr>
            <w:tcW w:type="dxa" w:w="1800"/>
            <w:vAlign w:val="center"/>
            <w:tcBorders>
              <w:top w:val="single" w:sz="4" w:color="D9D9D9"/>
              <w:left w:val="single" w:sz="4" w:color="D9D9D9"/>
              <w:bottom w:val="single" w:sz="4" w:color="D9D9D9"/>
              <w:right w:val="single" w:sz="4" w:color="D9D9D9"/>
            </w:tcBorders>
            <w:tcMar>
              <w:top w:w="75" w:type="dxa"/>
              <w:start w:w="95" w:type="dxa"/>
              <w:bottom w:w="75" w:type="dxa"/>
              <w:end w:w="95" w:type="dxa"/>
            </w:tcMar>
          </w:tcPr>
          <w:p>
            <w:pPr>
              <w:spacing w:after="0" w:line="259" w:lineRule="auto"/>
            </w:pPr>
            <w:r>
              <w:rPr>
                <w:sz w:val="16"/>
              </w:rPr>
              <w:t>MCP tools</w:t>
            </w:r>
          </w:p>
        </w:tc>
        <w:tc>
          <w:tcPr>
            <w:tcW w:type="dxa" w:w="4032"/>
            <w:vAlign w:val="center"/>
            <w:tcBorders>
              <w:top w:val="single" w:sz="4" w:color="D9D9D9"/>
              <w:left w:val="single" w:sz="4" w:color="D9D9D9"/>
              <w:bottom w:val="single" w:sz="4" w:color="D9D9D9"/>
              <w:right w:val="single" w:sz="4" w:color="D9D9D9"/>
            </w:tcBorders>
            <w:tcMar>
              <w:top w:w="75" w:type="dxa"/>
              <w:start w:w="95" w:type="dxa"/>
              <w:bottom w:w="75" w:type="dxa"/>
              <w:end w:w="95" w:type="dxa"/>
            </w:tcMar>
          </w:tcPr>
          <w:p>
            <w:pPr>
              <w:spacing w:after="0" w:line="259" w:lineRule="auto"/>
            </w:pPr>
            <w:r>
              <w:rPr>
                <w:sz w:val="16"/>
              </w:rPr>
              <w:t>Get accounts and positions; retrieve approved source pack; calculate exposure; draft paper order; confirm and submit sandbox order; query order status.</w:t>
            </w:r>
          </w:p>
        </w:tc>
        <w:tc>
          <w:tcPr>
            <w:tcW w:type="dxa" w:w="3672"/>
            <w:vAlign w:val="center"/>
            <w:tcBorders>
              <w:top w:val="single" w:sz="4" w:color="D9D9D9"/>
              <w:left w:val="single" w:sz="4" w:color="D9D9D9"/>
              <w:bottom w:val="single" w:sz="4" w:color="D9D9D9"/>
              <w:right w:val="single" w:sz="4" w:color="D9D9D9"/>
            </w:tcBorders>
            <w:tcMar>
              <w:top w:w="75" w:type="dxa"/>
              <w:start w:w="95" w:type="dxa"/>
              <w:bottom w:w="75" w:type="dxa"/>
              <w:end w:w="95" w:type="dxa"/>
            </w:tcMar>
          </w:tcPr>
          <w:p>
            <w:pPr>
              <w:spacing w:after="0" w:line="259" w:lineRule="auto"/>
            </w:pPr>
            <w:r>
              <w:rPr>
                <w:sz w:val="16"/>
              </w:rPr>
              <w:t>Each tool performs a distinct action; this is more than wrapping a broker endpoint.</w:t>
            </w:r>
          </w:p>
        </w:tc>
      </w:tr>
      <w:tr>
        <w:trPr>
          <w:cantSplit/>
        </w:trPr>
        <w:tc>
          <w:tcPr>
            <w:tcW w:type="dxa" w:w="1800"/>
            <w:vAlign w:val="center"/>
            <w:shd w:fill="F3F6F8"/>
            <w:tcBorders>
              <w:top w:val="single" w:sz="4" w:color="D9D9D9"/>
              <w:left w:val="single" w:sz="4" w:color="D9D9D9"/>
              <w:bottom w:val="single" w:sz="4" w:color="D9D9D9"/>
              <w:right w:val="single" w:sz="4" w:color="D9D9D9"/>
            </w:tcBorders>
            <w:tcMar>
              <w:top w:w="75" w:type="dxa"/>
              <w:start w:w="95" w:type="dxa"/>
              <w:bottom w:w="75" w:type="dxa"/>
              <w:end w:w="95" w:type="dxa"/>
            </w:tcMar>
          </w:tcPr>
          <w:p>
            <w:pPr>
              <w:spacing w:after="0" w:line="259" w:lineRule="auto"/>
            </w:pPr>
            <w:r>
              <w:rPr>
                <w:sz w:val="16"/>
              </w:rPr>
              <w:t>Account data</w:t>
            </w:r>
          </w:p>
        </w:tc>
        <w:tc>
          <w:tcPr>
            <w:tcW w:type="dxa" w:w="4032"/>
            <w:vAlign w:val="center"/>
            <w:shd w:fill="F3F6F8"/>
            <w:tcBorders>
              <w:top w:val="single" w:sz="4" w:color="D9D9D9"/>
              <w:left w:val="single" w:sz="4" w:color="D9D9D9"/>
              <w:bottom w:val="single" w:sz="4" w:color="D9D9D9"/>
              <w:right w:val="single" w:sz="4" w:color="D9D9D9"/>
            </w:tcBorders>
            <w:tcMar>
              <w:top w:w="75" w:type="dxa"/>
              <w:start w:w="95" w:type="dxa"/>
              <w:bottom w:w="75" w:type="dxa"/>
              <w:end w:w="95" w:type="dxa"/>
            </w:tcMar>
          </w:tcPr>
          <w:p>
            <w:pPr>
              <w:spacing w:after="0" w:line="259" w:lineRule="auto"/>
            </w:pPr>
            <w:r>
              <w:rPr>
                <w:sz w:val="16"/>
              </w:rPr>
              <w:t>SnapTrade Personal API for a consenting team member’s own two accounts, or commercial OAuth test app if available. Never put brokerage passwords or API secrets in the frontend or repo. [5][6]</w:t>
            </w:r>
          </w:p>
        </w:tc>
        <w:tc>
          <w:tcPr>
            <w:tcW w:type="dxa" w:w="3672"/>
            <w:vAlign w:val="center"/>
            <w:shd w:fill="F3F6F8"/>
            <w:tcBorders>
              <w:top w:val="single" w:sz="4" w:color="D9D9D9"/>
              <w:left w:val="single" w:sz="4" w:color="D9D9D9"/>
              <w:bottom w:val="single" w:sz="4" w:color="D9D9D9"/>
              <w:right w:val="single" w:sz="4" w:color="D9D9D9"/>
            </w:tcBorders>
            <w:tcMar>
              <w:top w:w="75" w:type="dxa"/>
              <w:start w:w="95" w:type="dxa"/>
              <w:bottom w:w="75" w:type="dxa"/>
              <w:end w:w="95" w:type="dxa"/>
            </w:tcMar>
          </w:tcPr>
          <w:p>
            <w:pPr>
              <w:spacing w:after="0" w:line="259" w:lineRule="auto"/>
            </w:pPr>
            <w:r>
              <w:rPr>
                <w:sz w:val="16"/>
              </w:rPr>
              <w:t>Supports a real multi broker demonstration while keeping access claims precise.</w:t>
            </w:r>
          </w:p>
        </w:tc>
      </w:tr>
      <w:tr>
        <w:trPr>
          <w:cantSplit/>
        </w:trPr>
        <w:tc>
          <w:tcPr>
            <w:tcW w:type="dxa" w:w="1800"/>
            <w:vAlign w:val="center"/>
            <w:tcBorders>
              <w:top w:val="single" w:sz="4" w:color="D9D9D9"/>
              <w:left w:val="single" w:sz="4" w:color="D9D9D9"/>
              <w:bottom w:val="single" w:sz="4" w:color="D9D9D9"/>
              <w:right w:val="single" w:sz="4" w:color="D9D9D9"/>
            </w:tcBorders>
            <w:tcMar>
              <w:top w:w="75" w:type="dxa"/>
              <w:start w:w="95" w:type="dxa"/>
              <w:bottom w:w="75" w:type="dxa"/>
              <w:end w:w="95" w:type="dxa"/>
            </w:tcMar>
          </w:tcPr>
          <w:p>
            <w:pPr>
              <w:spacing w:after="0" w:line="259" w:lineRule="auto"/>
            </w:pPr>
            <w:r>
              <w:rPr>
                <w:sz w:val="16"/>
              </w:rPr>
              <w:t>Company evidence</w:t>
            </w:r>
          </w:p>
        </w:tc>
        <w:tc>
          <w:tcPr>
            <w:tcW w:type="dxa" w:w="4032"/>
            <w:vAlign w:val="center"/>
            <w:tcBorders>
              <w:top w:val="single" w:sz="4" w:color="D9D9D9"/>
              <w:left w:val="single" w:sz="4" w:color="D9D9D9"/>
              <w:bottom w:val="single" w:sz="4" w:color="D9D9D9"/>
              <w:right w:val="single" w:sz="4" w:color="D9D9D9"/>
            </w:tcBorders>
            <w:tcMar>
              <w:top w:w="75" w:type="dxa"/>
              <w:start w:w="95" w:type="dxa"/>
              <w:bottom w:w="75" w:type="dxa"/>
              <w:end w:w="95" w:type="dxa"/>
            </w:tcMar>
          </w:tcPr>
          <w:p>
            <w:pPr>
              <w:spacing w:after="0" w:line="259" w:lineRule="auto"/>
            </w:pPr>
            <w:r>
              <w:rPr>
                <w:sz w:val="16"/>
              </w:rPr>
              <w:t>For the demo company, ingest a small, versioned set of official exchange disclosures and company investor relations documents; keep URLs, publication dates, excerpts and extraction timestamps. [9]</w:t>
            </w:r>
          </w:p>
        </w:tc>
        <w:tc>
          <w:tcPr>
            <w:tcW w:type="dxa" w:w="3672"/>
            <w:vAlign w:val="center"/>
            <w:tcBorders>
              <w:top w:val="single" w:sz="4" w:color="D9D9D9"/>
              <w:left w:val="single" w:sz="4" w:color="D9D9D9"/>
              <w:bottom w:val="single" w:sz="4" w:color="D9D9D9"/>
              <w:right w:val="single" w:sz="4" w:color="D9D9D9"/>
            </w:tcBorders>
            <w:tcMar>
              <w:top w:w="75" w:type="dxa"/>
              <w:start w:w="95" w:type="dxa"/>
              <w:bottom w:w="75" w:type="dxa"/>
              <w:end w:w="95" w:type="dxa"/>
            </w:tcMar>
          </w:tcPr>
          <w:p>
            <w:pPr>
              <w:spacing w:after="0" w:line="259" w:lineRule="auto"/>
            </w:pPr>
            <w:r>
              <w:rPr>
                <w:sz w:val="16"/>
              </w:rPr>
              <w:t>A bounded source pack is reliable and auditable under a short deadline.</w:t>
            </w:r>
          </w:p>
        </w:tc>
      </w:tr>
      <w:tr>
        <w:trPr>
          <w:cantSplit/>
        </w:trPr>
        <w:tc>
          <w:tcPr>
            <w:tcW w:type="dxa" w:w="1800"/>
            <w:vAlign w:val="center"/>
            <w:shd w:fill="F3F6F8"/>
            <w:tcBorders>
              <w:top w:val="single" w:sz="4" w:color="D9D9D9"/>
              <w:left w:val="single" w:sz="4" w:color="D9D9D9"/>
              <w:bottom w:val="single" w:sz="4" w:color="D9D9D9"/>
              <w:right w:val="single" w:sz="4" w:color="D9D9D9"/>
            </w:tcBorders>
            <w:tcMar>
              <w:top w:w="75" w:type="dxa"/>
              <w:start w:w="95" w:type="dxa"/>
              <w:bottom w:w="75" w:type="dxa"/>
              <w:end w:w="95" w:type="dxa"/>
            </w:tcMar>
          </w:tcPr>
          <w:p>
            <w:pPr>
              <w:spacing w:after="0" w:line="259" w:lineRule="auto"/>
            </w:pPr>
            <w:r>
              <w:rPr>
                <w:sz w:val="16"/>
              </w:rPr>
              <w:t>Order execution</w:t>
            </w:r>
          </w:p>
        </w:tc>
        <w:tc>
          <w:tcPr>
            <w:tcW w:type="dxa" w:w="4032"/>
            <w:vAlign w:val="center"/>
            <w:shd w:fill="F3F6F8"/>
            <w:tcBorders>
              <w:top w:val="single" w:sz="4" w:color="D9D9D9"/>
              <w:left w:val="single" w:sz="4" w:color="D9D9D9"/>
              <w:bottom w:val="single" w:sz="4" w:color="D9D9D9"/>
              <w:right w:val="single" w:sz="4" w:color="D9D9D9"/>
            </w:tcBorders>
            <w:tcMar>
              <w:top w:w="75" w:type="dxa"/>
              <w:start w:w="95" w:type="dxa"/>
              <w:bottom w:w="75" w:type="dxa"/>
              <w:end w:w="95" w:type="dxa"/>
            </w:tcMar>
          </w:tcPr>
          <w:p>
            <w:pPr>
              <w:spacing w:after="0" w:line="259" w:lineRule="auto"/>
            </w:pPr>
            <w:r>
              <w:rPr>
                <w:sz w:val="16"/>
              </w:rPr>
              <w:t>Use the official Upstox sandbox, not a live order endpoint. Sandbox mode supports order placement and status workflows with no real money. [8][18]</w:t>
            </w:r>
          </w:p>
        </w:tc>
        <w:tc>
          <w:tcPr>
            <w:tcW w:type="dxa" w:w="3672"/>
            <w:vAlign w:val="center"/>
            <w:shd w:fill="F3F6F8"/>
            <w:tcBorders>
              <w:top w:val="single" w:sz="4" w:color="D9D9D9"/>
              <w:left w:val="single" w:sz="4" w:color="D9D9D9"/>
              <w:bottom w:val="single" w:sz="4" w:color="D9D9D9"/>
              <w:right w:val="single" w:sz="4" w:color="D9D9D9"/>
            </w:tcBorders>
            <w:tcMar>
              <w:top w:w="75" w:type="dxa"/>
              <w:start w:w="95" w:type="dxa"/>
              <w:bottom w:w="75" w:type="dxa"/>
              <w:end w:w="95" w:type="dxa"/>
            </w:tcMar>
          </w:tcPr>
          <w:p>
            <w:pPr>
              <w:spacing w:after="0" w:line="259" w:lineRule="auto"/>
            </w:pPr>
            <w:r>
              <w:rPr>
                <w:sz w:val="16"/>
              </w:rPr>
              <w:t>Gives a genuine third party execution response while preserving a safe demo.</w:t>
            </w:r>
          </w:p>
        </w:tc>
      </w:tr>
    </w:tbl>
    <w:p>
      <w:pPr>
        <w:spacing w:after="20"/>
      </w:pPr>
    </w:p>
    <w:p>
      <w:r>
        <w:t>Research output contract: every material claim carries a source URL, document date, exact supporting excerpt or data field, and a “reported fact / calculation / interpretation” label. A claim without support is omitted or marked unverified. Portfolio arithmetic uses decimal or integer math outside the language model. The model may summarize and compare; it must not fabricate prices, balances, order IDs or a source quote.</w:t>
      </w:r>
    </w:p>
    <w:p>
      <w:r>
        <w:t>A company announcement page being public does not establish permission for bulk scraping or reuse. Start with a small source pack using authorized access and links; confirm relevant site and document terms before automated ingestion. The rules require authorization for third party data and APIs. [1][9]</w:t>
      </w:r>
    </w:p>
    <w:p>
      <w:pPr>
        <w:pStyle w:val="Heading1"/>
      </w:pPr>
      <w:r>
        <w:t>Broker and data access decision gate</w:t>
      </w:r>
    </w:p>
    <w:p>
      <w:r>
        <w:t>By 12 October, determine whether the team can connect two consenting accounts, ideally one Upstox and one Zerodha account, through SnapTrade. Its access guide lists both as read only, and production integrations need approval; SnapTrade Personal is intended for accessing your own accounts. A commercial app for other users is a separate path. [5][6]</w:t>
      </w:r>
    </w:p>
    <w:tbl>
      <w:tblPr>
        <w:tblW w:type="auto" w:w="0"/>
        <w:jc w:val="center"/>
        <w:tblLayout w:type="fixed"/>
        <w:tblLook w:firstColumn="1" w:firstRow="1" w:lastColumn="0" w:lastRow="0" w:noHBand="0" w:noVBand="1" w:val="04A0"/>
      </w:tblPr>
      <w:tblGrid>
        <w:gridCol w:w="2880"/>
        <w:gridCol w:w="6624"/>
      </w:tblGrid>
      <w:tr>
        <w:trPr>
          <w:tblHeader w:val="true"/>
        </w:trPr>
        <w:tc>
          <w:tcPr>
            <w:tcW w:type="dxa" w:w="4802"/>
            <w:shd w:fill="263746"/>
            <w:vAlign w:val="center"/>
            <w:tcBorders>
              <w:top w:val="single" w:sz="4" w:color="D9D9D9"/>
              <w:left w:val="single" w:sz="4" w:color="D9D9D9"/>
              <w:bottom w:val="single" w:sz="4" w:color="D9D9D9"/>
              <w:right w:val="single" w:sz="4" w:color="D9D9D9"/>
            </w:tcBorders>
            <w:tcMar>
              <w:top w:w="75" w:type="dxa"/>
              <w:start w:w="95" w:type="dxa"/>
              <w:bottom w:w="75" w:type="dxa"/>
              <w:end w:w="95" w:type="dxa"/>
            </w:tcMar>
          </w:tcPr>
          <w:p>
            <w:r>
              <w:rPr>
                <w:b/>
                <w:color w:val="FFFFFF"/>
                <w:sz w:val="17"/>
              </w:rPr>
              <w:t>Gate result</w:t>
            </w:r>
          </w:p>
        </w:tc>
        <w:tc>
          <w:tcPr>
            <w:tcW w:type="dxa" w:w="4802"/>
            <w:shd w:fill="263746"/>
            <w:vAlign w:val="center"/>
            <w:tcBorders>
              <w:top w:val="single" w:sz="4" w:color="D9D9D9"/>
              <w:left w:val="single" w:sz="4" w:color="D9D9D9"/>
              <w:bottom w:val="single" w:sz="4" w:color="D9D9D9"/>
              <w:right w:val="single" w:sz="4" w:color="D9D9D9"/>
            </w:tcBorders>
            <w:tcMar>
              <w:top w:w="75" w:type="dxa"/>
              <w:start w:w="95" w:type="dxa"/>
              <w:bottom w:w="75" w:type="dxa"/>
              <w:end w:w="95" w:type="dxa"/>
            </w:tcMar>
          </w:tcPr>
          <w:p>
            <w:r>
              <w:rPr>
                <w:b/>
                <w:color w:val="FFFFFF"/>
                <w:sz w:val="17"/>
              </w:rPr>
              <w:t>Honest implementation and claim</w:t>
            </w:r>
          </w:p>
        </w:tc>
      </w:tr>
      <w:tr>
        <w:trPr>
          <w:cantSplit/>
        </w:trPr>
        <w:tc>
          <w:tcPr>
            <w:tcW w:type="dxa" w:w="2880"/>
            <w:vAlign w:val="center"/>
            <w:tcBorders>
              <w:top w:val="single" w:sz="4" w:color="D9D9D9"/>
              <w:left w:val="single" w:sz="4" w:color="D9D9D9"/>
              <w:bottom w:val="single" w:sz="4" w:color="D9D9D9"/>
              <w:right w:val="single" w:sz="4" w:color="D9D9D9"/>
            </w:tcBorders>
            <w:tcMar>
              <w:top w:w="75" w:type="dxa"/>
              <w:start w:w="95" w:type="dxa"/>
              <w:bottom w:w="75" w:type="dxa"/>
              <w:end w:w="95" w:type="dxa"/>
            </w:tcMar>
          </w:tcPr>
          <w:p>
            <w:pPr>
              <w:spacing w:after="0" w:line="259" w:lineRule="auto"/>
            </w:pPr>
            <w:r>
              <w:rPr>
                <w:sz w:val="16"/>
              </w:rPr>
              <w:t>Two real accounts connected</w:t>
            </w:r>
          </w:p>
        </w:tc>
        <w:tc>
          <w:tcPr>
            <w:tcW w:type="dxa" w:w="6624"/>
            <w:vAlign w:val="center"/>
            <w:tcBorders>
              <w:top w:val="single" w:sz="4" w:color="D9D9D9"/>
              <w:left w:val="single" w:sz="4" w:color="D9D9D9"/>
              <w:bottom w:val="single" w:sz="4" w:color="D9D9D9"/>
              <w:right w:val="single" w:sz="4" w:color="D9D9D9"/>
            </w:tcBorders>
            <w:tcMar>
              <w:top w:w="75" w:type="dxa"/>
              <w:start w:w="95" w:type="dxa"/>
              <w:bottom w:w="75" w:type="dxa"/>
              <w:end w:w="95" w:type="dxa"/>
            </w:tcMar>
          </w:tcPr>
          <w:p>
            <w:pPr>
              <w:spacing w:after="0" w:line="259" w:lineRule="auto"/>
            </w:pPr>
            <w:r>
              <w:rPr>
                <w:sz w:val="16"/>
              </w:rPr>
              <w:t>Show masked, live or recently synced positions from both; record sync times and consent. Claim a demonstrated read only cross broker view.</w:t>
            </w:r>
          </w:p>
        </w:tc>
      </w:tr>
      <w:tr>
        <w:trPr>
          <w:cantSplit/>
        </w:trPr>
        <w:tc>
          <w:tcPr>
            <w:tcW w:type="dxa" w:w="2880"/>
            <w:vAlign w:val="center"/>
            <w:shd w:fill="F3F6F8"/>
            <w:tcBorders>
              <w:top w:val="single" w:sz="4" w:color="D9D9D9"/>
              <w:left w:val="single" w:sz="4" w:color="D9D9D9"/>
              <w:bottom w:val="single" w:sz="4" w:color="D9D9D9"/>
              <w:right w:val="single" w:sz="4" w:color="D9D9D9"/>
            </w:tcBorders>
            <w:tcMar>
              <w:top w:w="75" w:type="dxa"/>
              <w:start w:w="95" w:type="dxa"/>
              <w:bottom w:w="75" w:type="dxa"/>
              <w:end w:w="95" w:type="dxa"/>
            </w:tcMar>
          </w:tcPr>
          <w:p>
            <w:pPr>
              <w:spacing w:after="0" w:line="259" w:lineRule="auto"/>
            </w:pPr>
            <w:r>
              <w:rPr>
                <w:sz w:val="16"/>
              </w:rPr>
              <w:t>One real account connected</w:t>
            </w:r>
          </w:p>
        </w:tc>
        <w:tc>
          <w:tcPr>
            <w:tcW w:type="dxa" w:w="6624"/>
            <w:vAlign w:val="center"/>
            <w:shd w:fill="F3F6F8"/>
            <w:tcBorders>
              <w:top w:val="single" w:sz="4" w:color="D9D9D9"/>
              <w:left w:val="single" w:sz="4" w:color="D9D9D9"/>
              <w:bottom w:val="single" w:sz="4" w:color="D9D9D9"/>
              <w:right w:val="single" w:sz="4" w:color="D9D9D9"/>
            </w:tcBorders>
            <w:tcMar>
              <w:top w:w="75" w:type="dxa"/>
              <w:start w:w="95" w:type="dxa"/>
              <w:bottom w:w="75" w:type="dxa"/>
              <w:end w:w="95" w:type="dxa"/>
            </w:tcMar>
          </w:tcPr>
          <w:p>
            <w:pPr>
              <w:spacing w:after="0" w:line="259" w:lineRule="auto"/>
            </w:pPr>
            <w:r>
              <w:rPr>
                <w:sz w:val="16"/>
              </w:rPr>
              <w:t>Show one real account and one conspicuously labeled sample fixture. Claim that the cross broker calculation works on mixed real and sample data, not that two live links were proven.</w:t>
            </w:r>
          </w:p>
        </w:tc>
      </w:tr>
      <w:tr>
        <w:trPr>
          <w:cantSplit/>
        </w:trPr>
        <w:tc>
          <w:tcPr>
            <w:tcW w:type="dxa" w:w="2880"/>
            <w:vAlign w:val="center"/>
            <w:tcBorders>
              <w:top w:val="single" w:sz="4" w:color="D9D9D9"/>
              <w:left w:val="single" w:sz="4" w:color="D9D9D9"/>
              <w:bottom w:val="single" w:sz="4" w:color="D9D9D9"/>
              <w:right w:val="single" w:sz="4" w:color="D9D9D9"/>
            </w:tcBorders>
            <w:tcMar>
              <w:top w:w="75" w:type="dxa"/>
              <w:start w:w="95" w:type="dxa"/>
              <w:bottom w:w="75" w:type="dxa"/>
              <w:end w:w="95" w:type="dxa"/>
            </w:tcMar>
          </w:tcPr>
          <w:p>
            <w:pPr>
              <w:spacing w:after="0" w:line="259" w:lineRule="auto"/>
            </w:pPr>
            <w:r>
              <w:rPr>
                <w:sz w:val="16"/>
              </w:rPr>
              <w:t>No live account access</w:t>
            </w:r>
          </w:p>
        </w:tc>
        <w:tc>
          <w:tcPr>
            <w:tcW w:type="dxa" w:w="6624"/>
            <w:vAlign w:val="center"/>
            <w:tcBorders>
              <w:top w:val="single" w:sz="4" w:color="D9D9D9"/>
              <w:left w:val="single" w:sz="4" w:color="D9D9D9"/>
              <w:bottom w:val="single" w:sz="4" w:color="D9D9D9"/>
              <w:right w:val="single" w:sz="4" w:color="D9D9D9"/>
            </w:tcBorders>
            <w:tcMar>
              <w:top w:w="75" w:type="dxa"/>
              <w:start w:w="95" w:type="dxa"/>
              <w:bottom w:w="75" w:type="dxa"/>
              <w:end w:w="95" w:type="dxa"/>
            </w:tcMar>
          </w:tcPr>
          <w:p>
            <w:pPr>
              <w:spacing w:after="0" w:line="259" w:lineRule="auto"/>
            </w:pPr>
            <w:r>
              <w:rPr>
                <w:sz w:val="16"/>
              </w:rPr>
              <w:t>Use only labeled fixtures and prioritize evidence synthesis plus a real Upstox sandbox order. Remove “live multi broker integration” from the pitch and state the limitation plainly.</w:t>
            </w:r>
          </w:p>
        </w:tc>
      </w:tr>
    </w:tbl>
    <w:p>
      <w:pPr>
        <w:spacing w:after="20"/>
      </w:pPr>
    </w:p>
    <w:p>
      <w:r>
        <w:t>Do not mix an Indian equity research case with a US paper broker merely to display an order. The Upstox sandbox keeps the symbol, market, currency and order flow in one coherent example. Its sandbox token validity and API coverage must be checked in the team’s own account; the official docs say access tokens are valid for 30 days and that sandbox support is being rolled out by endpoint. Refresh judge access before 9 November. [8]</w:t>
      </w:r>
    </w:p>
    <w:p>
      <w:pPr>
        <w:pStyle w:val="Heading1"/>
      </w:pPr>
      <w:r>
        <w:t>Evidence needed before claiming impact</w:t>
      </w:r>
    </w:p>
    <w:p>
      <w:r>
        <w:t>Speak with three to five self directed investors who actually research Indian shares and use one or more brokerages. Ask them to walk through their last stock purchase decision, which sources they opened, what they struggled to verify, and how they checked existing exposure. Do not lead with the product pitch. Record the number who independently describe cross account blind spots or difficulty interpreting filings; keep the raw notes and do not turn this small sample into a market size claim.</w:t>
      </w:r>
    </w:p>
    <w:p>
      <w:r>
        <w:t>In a short prototype observation, ask each participant to identify one supporting fact, one counterargument, the source date, the change in portfolio exposure, and whether the final order uses real money. Track completion, incorrect interpretations and moments when the spoken response is too long. These outcomes give the Potential Impact and Design sections concrete evidence, even if the result reveals a problem that needs fixing.</w:t>
      </w:r>
    </w:p>
    <w:p>
      <w:pPr>
        <w:pStyle w:val="Heading1"/>
      </w:pPr>
      <w:r>
        <w:t>Safety and product boundaries</w:t>
      </w:r>
    </w:p>
    <w:p>
      <w:pPr>
        <w:pStyle w:val="ListBullet"/>
        <w:spacing w:after="60"/>
      </w:pPr>
      <w:r>
        <w:t>Research, not directive advice. Ask for the user’s thesis, present evidence on both sides and allow “save for later.” Do not say “buy now” or rank a stock as the user’s best investment. Amazon’s financial add-on policy rejects directive advice. [12]</w:t>
      </w:r>
    </w:p>
    <w:p>
      <w:pPr>
        <w:pStyle w:val="ListBullet"/>
        <w:spacing w:after="60"/>
      </w:pPr>
      <w:r>
        <w:t>Explicit order boundary. Drafting an order never submits it. Require user initiated quantity and price, a full visual and spoken preview, a separate confirmation action and an unmistakable PAPER ORDER label.</w:t>
      </w:r>
    </w:p>
    <w:p>
      <w:pPr>
        <w:pStyle w:val="ListBullet"/>
        <w:spacing w:after="60"/>
      </w:pPr>
      <w:r>
        <w:t>Protect account data. Use delegated access or server side keys, least privilege, masked identifiers, no credentials in logs, and no full balances read aloud in a public demo. Treat filings and web text as data, not instructions to the agent.</w:t>
      </w:r>
    </w:p>
    <w:p>
      <w:pPr>
        <w:pStyle w:val="ListBullet"/>
        <w:spacing w:after="60"/>
      </w:pPr>
      <w:r>
        <w:t>Handle uncertainty. Show source age, account sync age, missing sources and contradictory evidence. If a source is unavailable or a connection is stale, say what could not be verified; block the dependent conclusion or order step if necessary.</w:t>
      </w:r>
    </w:p>
    <w:p>
      <w:pPr>
        <w:pStyle w:val="ListBullet"/>
        <w:spacing w:after="60"/>
      </w:pPr>
      <w:r>
        <w:t>Keep the prototype distinct from publication. Alexa Plus add-on publication has additional financial institution authorization, OAuth, voice PIN and written transaction confirmation requirements; a commercial India launch also needs specialist review of SEBI obligations. [12][13]</w:t>
      </w:r>
    </w:p>
    <w:p>
      <w:pPr>
        <w:pStyle w:val="Heading1"/>
      </w:pPr>
      <w:r>
        <w:t>Acceptance criteria for the submission</w:t>
      </w:r>
    </w:p>
    <w:tbl>
      <w:tblPr>
        <w:tblW w:type="auto" w:w="0"/>
        <w:jc w:val="center"/>
        <w:tblLayout w:type="fixed"/>
        <w:tblLook w:firstColumn="1" w:firstRow="1" w:lastColumn="0" w:lastRow="0" w:noHBand="0" w:noVBand="1" w:val="04A0"/>
      </w:tblPr>
      <w:tblGrid>
        <w:gridCol w:w="2448"/>
        <w:gridCol w:w="7056"/>
      </w:tblGrid>
      <w:tr>
        <w:trPr>
          <w:tblHeader w:val="true"/>
        </w:trPr>
        <w:tc>
          <w:tcPr>
            <w:tcW w:type="dxa" w:w="4802"/>
            <w:shd w:fill="263746"/>
            <w:vAlign w:val="center"/>
            <w:tcBorders>
              <w:top w:val="single" w:sz="4" w:color="D9D9D9"/>
              <w:left w:val="single" w:sz="4" w:color="D9D9D9"/>
              <w:bottom w:val="single" w:sz="4" w:color="D9D9D9"/>
              <w:right w:val="single" w:sz="4" w:color="D9D9D9"/>
            </w:tcBorders>
            <w:tcMar>
              <w:top w:w="75" w:type="dxa"/>
              <w:start w:w="95" w:type="dxa"/>
              <w:bottom w:w="75" w:type="dxa"/>
              <w:end w:w="95" w:type="dxa"/>
            </w:tcMar>
          </w:tcPr>
          <w:p>
            <w:r>
              <w:rPr>
                <w:b/>
                <w:color w:val="FFFFFF"/>
                <w:sz w:val="17"/>
              </w:rPr>
              <w:t>Evidence a judge can see</w:t>
            </w:r>
          </w:p>
        </w:tc>
        <w:tc>
          <w:tcPr>
            <w:tcW w:type="dxa" w:w="4802"/>
            <w:shd w:fill="263746"/>
            <w:vAlign w:val="center"/>
            <w:tcBorders>
              <w:top w:val="single" w:sz="4" w:color="D9D9D9"/>
              <w:left w:val="single" w:sz="4" w:color="D9D9D9"/>
              <w:bottom w:val="single" w:sz="4" w:color="D9D9D9"/>
              <w:right w:val="single" w:sz="4" w:color="D9D9D9"/>
            </w:tcBorders>
            <w:tcMar>
              <w:top w:w="75" w:type="dxa"/>
              <w:start w:w="95" w:type="dxa"/>
              <w:bottom w:w="75" w:type="dxa"/>
              <w:end w:w="95" w:type="dxa"/>
            </w:tcMar>
          </w:tcPr>
          <w:p>
            <w:r>
              <w:rPr>
                <w:b/>
                <w:color w:val="FFFFFF"/>
                <w:sz w:val="17"/>
              </w:rPr>
              <w:t>Minimum bar by 22 October</w:t>
            </w:r>
          </w:p>
        </w:tc>
      </w:tr>
      <w:tr>
        <w:trPr>
          <w:cantSplit/>
        </w:trPr>
        <w:tc>
          <w:tcPr>
            <w:tcW w:type="dxa" w:w="2448"/>
            <w:vAlign w:val="center"/>
            <w:tcBorders>
              <w:top w:val="single" w:sz="4" w:color="D9D9D9"/>
              <w:left w:val="single" w:sz="4" w:color="D9D9D9"/>
              <w:bottom w:val="single" w:sz="4" w:color="D9D9D9"/>
              <w:right w:val="single" w:sz="4" w:color="D9D9D9"/>
            </w:tcBorders>
            <w:tcMar>
              <w:top w:w="75" w:type="dxa"/>
              <w:start w:w="95" w:type="dxa"/>
              <w:bottom w:w="75" w:type="dxa"/>
              <w:end w:w="95" w:type="dxa"/>
            </w:tcMar>
          </w:tcPr>
          <w:p>
            <w:pPr>
              <w:spacing w:after="0" w:line="259" w:lineRule="auto"/>
            </w:pPr>
            <w:r>
              <w:rPr>
                <w:sz w:val="16"/>
              </w:rPr>
              <w:t>Working platform</w:t>
            </w:r>
          </w:p>
        </w:tc>
        <w:tc>
          <w:tcPr>
            <w:tcW w:type="dxa" w:w="7056"/>
            <w:vAlign w:val="center"/>
            <w:tcBorders>
              <w:top w:val="single" w:sz="4" w:color="D9D9D9"/>
              <w:left w:val="single" w:sz="4" w:color="D9D9D9"/>
              <w:bottom w:val="single" w:sz="4" w:color="D9D9D9"/>
              <w:right w:val="single" w:sz="4" w:color="D9D9D9"/>
            </w:tcBorders>
            <w:tcMar>
              <w:top w:w="75" w:type="dxa"/>
              <w:start w:w="95" w:type="dxa"/>
              <w:bottom w:w="75" w:type="dxa"/>
              <w:end w:w="95" w:type="dxa"/>
            </w:tcMar>
          </w:tcPr>
          <w:p>
            <w:pPr>
              <w:spacing w:after="0" w:line="259" w:lineRule="auto"/>
            </w:pPr>
            <w:r>
              <w:rPr>
                <w:sz w:val="16"/>
              </w:rPr>
              <w:t>MCP endpoint actually runs over Streamable HTTP with declared protocol version; browser demo calls the agent and tools rather than playing a prerecorded script.</w:t>
            </w:r>
          </w:p>
        </w:tc>
      </w:tr>
      <w:tr>
        <w:trPr>
          <w:cantSplit/>
        </w:trPr>
        <w:tc>
          <w:tcPr>
            <w:tcW w:type="dxa" w:w="2448"/>
            <w:vAlign w:val="center"/>
            <w:shd w:fill="F3F6F8"/>
            <w:tcBorders>
              <w:top w:val="single" w:sz="4" w:color="D9D9D9"/>
              <w:left w:val="single" w:sz="4" w:color="D9D9D9"/>
              <w:bottom w:val="single" w:sz="4" w:color="D9D9D9"/>
              <w:right w:val="single" w:sz="4" w:color="D9D9D9"/>
            </w:tcBorders>
            <w:tcMar>
              <w:top w:w="75" w:type="dxa"/>
              <w:start w:w="95" w:type="dxa"/>
              <w:bottom w:w="75" w:type="dxa"/>
              <w:end w:w="95" w:type="dxa"/>
            </w:tcMar>
          </w:tcPr>
          <w:p>
            <w:pPr>
              <w:spacing w:after="0" w:line="259" w:lineRule="auto"/>
            </w:pPr>
            <w:r>
              <w:rPr>
                <w:sz w:val="16"/>
              </w:rPr>
              <w:t>Evidence chain</w:t>
            </w:r>
          </w:p>
        </w:tc>
        <w:tc>
          <w:tcPr>
            <w:tcW w:type="dxa" w:w="7056"/>
            <w:vAlign w:val="center"/>
            <w:shd w:fill="F3F6F8"/>
            <w:tcBorders>
              <w:top w:val="single" w:sz="4" w:color="D9D9D9"/>
              <w:left w:val="single" w:sz="4" w:color="D9D9D9"/>
              <w:bottom w:val="single" w:sz="4" w:color="D9D9D9"/>
              <w:right w:val="single" w:sz="4" w:color="D9D9D9"/>
            </w:tcBorders>
            <w:tcMar>
              <w:top w:w="75" w:type="dxa"/>
              <w:start w:w="95" w:type="dxa"/>
              <w:bottom w:w="75" w:type="dxa"/>
              <w:end w:w="95" w:type="dxa"/>
            </w:tcMar>
          </w:tcPr>
          <w:p>
            <w:pPr>
              <w:spacing w:after="0" w:line="259" w:lineRule="auto"/>
            </w:pPr>
            <w:r>
              <w:rPr>
                <w:sz w:val="16"/>
              </w:rPr>
              <w:t>At least two official, dated company sources appear as clickable cards; each major spoken claim points to one; one substantive counterargument is present.</w:t>
            </w:r>
          </w:p>
        </w:tc>
      </w:tr>
      <w:tr>
        <w:trPr>
          <w:cantSplit/>
        </w:trPr>
        <w:tc>
          <w:tcPr>
            <w:tcW w:type="dxa" w:w="2448"/>
            <w:vAlign w:val="center"/>
            <w:tcBorders>
              <w:top w:val="single" w:sz="4" w:color="D9D9D9"/>
              <w:left w:val="single" w:sz="4" w:color="D9D9D9"/>
              <w:bottom w:val="single" w:sz="4" w:color="D9D9D9"/>
              <w:right w:val="single" w:sz="4" w:color="D9D9D9"/>
            </w:tcBorders>
            <w:tcMar>
              <w:top w:w="75" w:type="dxa"/>
              <w:start w:w="95" w:type="dxa"/>
              <w:bottom w:w="75" w:type="dxa"/>
              <w:end w:w="95" w:type="dxa"/>
            </w:tcMar>
          </w:tcPr>
          <w:p>
            <w:pPr>
              <w:spacing w:after="0" w:line="259" w:lineRule="auto"/>
            </w:pPr>
            <w:r>
              <w:rPr>
                <w:sz w:val="16"/>
              </w:rPr>
              <w:t>Portfolio context</w:t>
            </w:r>
          </w:p>
        </w:tc>
        <w:tc>
          <w:tcPr>
            <w:tcW w:type="dxa" w:w="7056"/>
            <w:vAlign w:val="center"/>
            <w:tcBorders>
              <w:top w:val="single" w:sz="4" w:color="D9D9D9"/>
              <w:left w:val="single" w:sz="4" w:color="D9D9D9"/>
              <w:bottom w:val="single" w:sz="4" w:color="D9D9D9"/>
              <w:right w:val="single" w:sz="4" w:color="D9D9D9"/>
            </w:tcBorders>
            <w:tcMar>
              <w:top w:w="75" w:type="dxa"/>
              <w:start w:w="95" w:type="dxa"/>
              <w:bottom w:w="75" w:type="dxa"/>
              <w:end w:w="95" w:type="dxa"/>
            </w:tcMar>
          </w:tcPr>
          <w:p>
            <w:pPr>
              <w:spacing w:after="0" w:line="259" w:lineRule="auto"/>
            </w:pPr>
            <w:r>
              <w:rPr>
                <w:sz w:val="16"/>
              </w:rPr>
              <w:t>Two accounts if the gate succeeds; otherwise labeled fallback. Current and hypothetical exposure values recompute deterministically when quantity changes.</w:t>
            </w:r>
          </w:p>
        </w:tc>
      </w:tr>
      <w:tr>
        <w:trPr>
          <w:cantSplit/>
        </w:trPr>
        <w:tc>
          <w:tcPr>
            <w:tcW w:type="dxa" w:w="2448"/>
            <w:vAlign w:val="center"/>
            <w:shd w:fill="F3F6F8"/>
            <w:tcBorders>
              <w:top w:val="single" w:sz="4" w:color="D9D9D9"/>
              <w:left w:val="single" w:sz="4" w:color="D9D9D9"/>
              <w:bottom w:val="single" w:sz="4" w:color="D9D9D9"/>
              <w:right w:val="single" w:sz="4" w:color="D9D9D9"/>
            </w:tcBorders>
            <w:tcMar>
              <w:top w:w="75" w:type="dxa"/>
              <w:start w:w="95" w:type="dxa"/>
              <w:bottom w:w="75" w:type="dxa"/>
              <w:end w:w="95" w:type="dxa"/>
            </w:tcMar>
          </w:tcPr>
          <w:p>
            <w:pPr>
              <w:spacing w:after="0" w:line="259" w:lineRule="auto"/>
            </w:pPr>
            <w:r>
              <w:rPr>
                <w:sz w:val="16"/>
              </w:rPr>
              <w:t>Transaction</w:t>
            </w:r>
          </w:p>
        </w:tc>
        <w:tc>
          <w:tcPr>
            <w:tcW w:type="dxa" w:w="7056"/>
            <w:vAlign w:val="center"/>
            <w:shd w:fill="F3F6F8"/>
            <w:tcBorders>
              <w:top w:val="single" w:sz="4" w:color="D9D9D9"/>
              <w:left w:val="single" w:sz="4" w:color="D9D9D9"/>
              <w:bottom w:val="single" w:sz="4" w:color="D9D9D9"/>
              <w:right w:val="single" w:sz="4" w:color="D9D9D9"/>
            </w:tcBorders>
            <w:tcMar>
              <w:top w:w="75" w:type="dxa"/>
              <w:start w:w="95" w:type="dxa"/>
              <w:bottom w:w="75" w:type="dxa"/>
              <w:end w:w="95" w:type="dxa"/>
            </w:tcMar>
          </w:tcPr>
          <w:p>
            <w:pPr>
              <w:spacing w:after="0" w:line="259" w:lineRule="auto"/>
            </w:pPr>
            <w:r>
              <w:rPr>
                <w:sz w:val="16"/>
              </w:rPr>
              <w:t>Upstox sandbox receives a user confirmed order and returns a real sandbox order ID/status. Cancellation/no confirmation makes no order request.</w:t>
            </w:r>
          </w:p>
        </w:tc>
      </w:tr>
      <w:tr>
        <w:trPr>
          <w:cantSplit/>
        </w:trPr>
        <w:tc>
          <w:tcPr>
            <w:tcW w:type="dxa" w:w="2448"/>
            <w:vAlign w:val="center"/>
            <w:tcBorders>
              <w:top w:val="single" w:sz="4" w:color="D9D9D9"/>
              <w:left w:val="single" w:sz="4" w:color="D9D9D9"/>
              <w:bottom w:val="single" w:sz="4" w:color="D9D9D9"/>
              <w:right w:val="single" w:sz="4" w:color="D9D9D9"/>
            </w:tcBorders>
            <w:tcMar>
              <w:top w:w="75" w:type="dxa"/>
              <w:start w:w="95" w:type="dxa"/>
              <w:bottom w:w="75" w:type="dxa"/>
              <w:end w:w="95" w:type="dxa"/>
            </w:tcMar>
          </w:tcPr>
          <w:p>
            <w:pPr>
              <w:spacing w:after="0" w:line="259" w:lineRule="auto"/>
            </w:pPr>
            <w:r>
              <w:rPr>
                <w:sz w:val="16"/>
              </w:rPr>
              <w:t>Trust</w:t>
            </w:r>
          </w:p>
        </w:tc>
        <w:tc>
          <w:tcPr>
            <w:tcW w:type="dxa" w:w="7056"/>
            <w:vAlign w:val="center"/>
            <w:tcBorders>
              <w:top w:val="single" w:sz="4" w:color="D9D9D9"/>
              <w:left w:val="single" w:sz="4" w:color="D9D9D9"/>
              <w:bottom w:val="single" w:sz="4" w:color="D9D9D9"/>
              <w:right w:val="single" w:sz="4" w:color="D9D9D9"/>
            </w:tcBorders>
            <w:tcMar>
              <w:top w:w="75" w:type="dxa"/>
              <w:start w:w="95" w:type="dxa"/>
              <w:bottom w:w="75" w:type="dxa"/>
              <w:end w:w="95" w:type="dxa"/>
            </w:tcMar>
          </w:tcPr>
          <w:p>
            <w:pPr>
              <w:spacing w:after="0" w:line="259" w:lineRule="auto"/>
            </w:pPr>
            <w:r>
              <w:rPr>
                <w:sz w:val="16"/>
              </w:rPr>
              <w:t>Paper mode, masked account details, stale-data message and a failed API path are visible in the interface or demo documentation.</w:t>
            </w:r>
          </w:p>
        </w:tc>
      </w:tr>
      <w:tr>
        <w:trPr>
          <w:cantSplit/>
        </w:trPr>
        <w:tc>
          <w:tcPr>
            <w:tcW w:type="dxa" w:w="2448"/>
            <w:vAlign w:val="center"/>
            <w:shd w:fill="F3F6F8"/>
            <w:tcBorders>
              <w:top w:val="single" w:sz="4" w:color="D9D9D9"/>
              <w:left w:val="single" w:sz="4" w:color="D9D9D9"/>
              <w:bottom w:val="single" w:sz="4" w:color="D9D9D9"/>
              <w:right w:val="single" w:sz="4" w:color="D9D9D9"/>
            </w:tcBorders>
            <w:tcMar>
              <w:top w:w="75" w:type="dxa"/>
              <w:start w:w="95" w:type="dxa"/>
              <w:bottom w:w="75" w:type="dxa"/>
              <w:end w:w="95" w:type="dxa"/>
            </w:tcMar>
          </w:tcPr>
          <w:p>
            <w:pPr>
              <w:spacing w:after="0" w:line="259" w:lineRule="auto"/>
            </w:pPr>
            <w:r>
              <w:rPr>
                <w:sz w:val="16"/>
              </w:rPr>
              <w:t>Reproducibility</w:t>
            </w:r>
          </w:p>
        </w:tc>
        <w:tc>
          <w:tcPr>
            <w:tcW w:type="dxa" w:w="7056"/>
            <w:vAlign w:val="center"/>
            <w:shd w:fill="F3F6F8"/>
            <w:tcBorders>
              <w:top w:val="single" w:sz="4" w:color="D9D9D9"/>
              <w:left w:val="single" w:sz="4" w:color="D9D9D9"/>
              <w:bottom w:val="single" w:sz="4" w:color="D9D9D9"/>
              <w:right w:val="single" w:sz="4" w:color="D9D9D9"/>
            </w:tcBorders>
            <w:tcMar>
              <w:top w:w="75" w:type="dxa"/>
              <w:start w:w="95" w:type="dxa"/>
              <w:bottom w:w="75" w:type="dxa"/>
              <w:end w:w="95" w:type="dxa"/>
            </w:tcMar>
          </w:tcPr>
          <w:p>
            <w:pPr>
              <w:spacing w:after="0" w:line="259" w:lineRule="auto"/>
            </w:pPr>
            <w:r>
              <w:rPr>
                <w:sz w:val="16"/>
              </w:rPr>
              <w:t>A judge can run fixture mode from the README with no personal brokerage credentials, and can see which integrations were live in the recorded demonstration.</w:t>
            </w:r>
          </w:p>
        </w:tc>
      </w:tr>
    </w:tbl>
    <w:p>
      <w:pPr>
        <w:spacing w:after="20"/>
      </w:pPr>
    </w:p>
    <w:p>
      <w:pPr>
        <w:pStyle w:val="Heading1"/>
      </w:pPr>
      <w:r>
        <w:t>How to score well under the official rubric</w:t>
      </w:r>
    </w:p>
    <w:tbl>
      <w:tblPr>
        <w:tblW w:type="auto" w:w="0"/>
        <w:jc w:val="center"/>
        <w:tblLayout w:type="fixed"/>
        <w:tblLook w:firstColumn="1" w:firstRow="1" w:lastColumn="0" w:lastRow="0" w:noHBand="0" w:noVBand="1" w:val="04A0"/>
      </w:tblPr>
      <w:tblGrid>
        <w:gridCol w:w="2232"/>
        <w:gridCol w:w="7272"/>
      </w:tblGrid>
      <w:tr>
        <w:trPr>
          <w:tblHeader w:val="true"/>
        </w:trPr>
        <w:tc>
          <w:tcPr>
            <w:tcW w:type="dxa" w:w="4802"/>
            <w:shd w:fill="263746"/>
            <w:vAlign w:val="center"/>
            <w:tcBorders>
              <w:top w:val="single" w:sz="4" w:color="D9D9D9"/>
              <w:left w:val="single" w:sz="4" w:color="D9D9D9"/>
              <w:bottom w:val="single" w:sz="4" w:color="D9D9D9"/>
              <w:right w:val="single" w:sz="4" w:color="D9D9D9"/>
            </w:tcBorders>
            <w:tcMar>
              <w:top w:w="75" w:type="dxa"/>
              <w:start w:w="95" w:type="dxa"/>
              <w:bottom w:w="75" w:type="dxa"/>
              <w:end w:w="95" w:type="dxa"/>
            </w:tcMar>
          </w:tcPr>
          <w:p>
            <w:r>
              <w:rPr>
                <w:b/>
                <w:color w:val="FFFFFF"/>
                <w:sz w:val="17"/>
              </w:rPr>
              <w:t>Criterion</w:t>
            </w:r>
          </w:p>
        </w:tc>
        <w:tc>
          <w:tcPr>
            <w:tcW w:type="dxa" w:w="4802"/>
            <w:shd w:fill="263746"/>
            <w:vAlign w:val="center"/>
            <w:tcBorders>
              <w:top w:val="single" w:sz="4" w:color="D9D9D9"/>
              <w:left w:val="single" w:sz="4" w:color="D9D9D9"/>
              <w:bottom w:val="single" w:sz="4" w:color="D9D9D9"/>
              <w:right w:val="single" w:sz="4" w:color="D9D9D9"/>
            </w:tcBorders>
            <w:tcMar>
              <w:top w:w="75" w:type="dxa"/>
              <w:start w:w="95" w:type="dxa"/>
              <w:bottom w:w="75" w:type="dxa"/>
              <w:end w:w="95" w:type="dxa"/>
            </w:tcMar>
          </w:tcPr>
          <w:p>
            <w:r>
              <w:rPr>
                <w:b/>
                <w:color w:val="FFFFFF"/>
                <w:sz w:val="17"/>
              </w:rPr>
              <w:t>What to show</w:t>
            </w:r>
          </w:p>
        </w:tc>
      </w:tr>
      <w:tr>
        <w:trPr>
          <w:cantSplit/>
        </w:trPr>
        <w:tc>
          <w:tcPr>
            <w:tcW w:type="dxa" w:w="2232"/>
            <w:vAlign w:val="center"/>
            <w:tcBorders>
              <w:top w:val="single" w:sz="4" w:color="D9D9D9"/>
              <w:left w:val="single" w:sz="4" w:color="D9D9D9"/>
              <w:bottom w:val="single" w:sz="4" w:color="D9D9D9"/>
              <w:right w:val="single" w:sz="4" w:color="D9D9D9"/>
            </w:tcBorders>
            <w:tcMar>
              <w:top w:w="75" w:type="dxa"/>
              <w:start w:w="95" w:type="dxa"/>
              <w:bottom w:w="75" w:type="dxa"/>
              <w:end w:w="95" w:type="dxa"/>
            </w:tcMar>
          </w:tcPr>
          <w:p>
            <w:pPr>
              <w:spacing w:after="0" w:line="259" w:lineRule="auto"/>
            </w:pPr>
            <w:r>
              <w:rPr>
                <w:sz w:val="16"/>
              </w:rPr>
              <w:t>Tech implementation</w:t>
            </w:r>
          </w:p>
        </w:tc>
        <w:tc>
          <w:tcPr>
            <w:tcW w:type="dxa" w:w="7272"/>
            <w:vAlign w:val="center"/>
            <w:tcBorders>
              <w:top w:val="single" w:sz="4" w:color="D9D9D9"/>
              <w:left w:val="single" w:sz="4" w:color="D9D9D9"/>
              <w:bottom w:val="single" w:sz="4" w:color="D9D9D9"/>
              <w:right w:val="single" w:sz="4" w:color="D9D9D9"/>
            </w:tcBorders>
            <w:tcMar>
              <w:top w:w="75" w:type="dxa"/>
              <w:start w:w="95" w:type="dxa"/>
              <w:bottom w:w="75" w:type="dxa"/>
              <w:end w:w="95" w:type="dxa"/>
            </w:tcMar>
          </w:tcPr>
          <w:p>
            <w:pPr>
              <w:spacing w:after="0" w:line="259" w:lineRule="auto"/>
            </w:pPr>
            <w:r>
              <w:rPr>
                <w:sz w:val="16"/>
              </w:rPr>
              <w:t>Working MCP at runtime, actual Bedrock tool calls if entered for AWS Builder, broker data with honest access labels, deterministic exposure calculation and sandbox order lifecycle.</w:t>
            </w:r>
          </w:p>
        </w:tc>
      </w:tr>
      <w:tr>
        <w:trPr>
          <w:cantSplit/>
        </w:trPr>
        <w:tc>
          <w:tcPr>
            <w:tcW w:type="dxa" w:w="2232"/>
            <w:vAlign w:val="center"/>
            <w:shd w:fill="F3F6F8"/>
            <w:tcBorders>
              <w:top w:val="single" w:sz="4" w:color="D9D9D9"/>
              <w:left w:val="single" w:sz="4" w:color="D9D9D9"/>
              <w:bottom w:val="single" w:sz="4" w:color="D9D9D9"/>
              <w:right w:val="single" w:sz="4" w:color="D9D9D9"/>
            </w:tcBorders>
            <w:tcMar>
              <w:top w:w="75" w:type="dxa"/>
              <w:start w:w="95" w:type="dxa"/>
              <w:bottom w:w="75" w:type="dxa"/>
              <w:end w:w="95" w:type="dxa"/>
            </w:tcMar>
          </w:tcPr>
          <w:p>
            <w:pPr>
              <w:spacing w:after="0" w:line="259" w:lineRule="auto"/>
            </w:pPr>
            <w:r>
              <w:rPr>
                <w:sz w:val="16"/>
              </w:rPr>
              <w:t>Design</w:t>
            </w:r>
          </w:p>
        </w:tc>
        <w:tc>
          <w:tcPr>
            <w:tcW w:type="dxa" w:w="7272"/>
            <w:vAlign w:val="center"/>
            <w:shd w:fill="F3F6F8"/>
            <w:tcBorders>
              <w:top w:val="single" w:sz="4" w:color="D9D9D9"/>
              <w:left w:val="single" w:sz="4" w:color="D9D9D9"/>
              <w:bottom w:val="single" w:sz="4" w:color="D9D9D9"/>
              <w:right w:val="single" w:sz="4" w:color="D9D9D9"/>
            </w:tcBorders>
            <w:tcMar>
              <w:top w:w="75" w:type="dxa"/>
              <w:start w:w="95" w:type="dxa"/>
              <w:bottom w:w="75" w:type="dxa"/>
              <w:end w:w="95" w:type="dxa"/>
            </w:tcMar>
          </w:tcPr>
          <w:p>
            <w:pPr>
              <w:spacing w:after="0" w:line="259" w:lineRule="auto"/>
            </w:pPr>
            <w:r>
              <w:rPr>
                <w:sz w:val="16"/>
              </w:rPr>
              <w:t>A conversational experience with short speech, readable evidence cards, seamless follow ups, explicit confirmations and clear error states.</w:t>
            </w:r>
          </w:p>
        </w:tc>
      </w:tr>
      <w:tr>
        <w:trPr>
          <w:cantSplit/>
        </w:trPr>
        <w:tc>
          <w:tcPr>
            <w:tcW w:type="dxa" w:w="2232"/>
            <w:vAlign w:val="center"/>
            <w:tcBorders>
              <w:top w:val="single" w:sz="4" w:color="D9D9D9"/>
              <w:left w:val="single" w:sz="4" w:color="D9D9D9"/>
              <w:bottom w:val="single" w:sz="4" w:color="D9D9D9"/>
              <w:right w:val="single" w:sz="4" w:color="D9D9D9"/>
            </w:tcBorders>
            <w:tcMar>
              <w:top w:w="75" w:type="dxa"/>
              <w:start w:w="95" w:type="dxa"/>
              <w:bottom w:w="75" w:type="dxa"/>
              <w:end w:w="95" w:type="dxa"/>
            </w:tcMar>
          </w:tcPr>
          <w:p>
            <w:pPr>
              <w:spacing w:after="0" w:line="259" w:lineRule="auto"/>
            </w:pPr>
            <w:r>
              <w:rPr>
                <w:sz w:val="16"/>
              </w:rPr>
              <w:t>Potential impact</w:t>
            </w:r>
          </w:p>
        </w:tc>
        <w:tc>
          <w:tcPr>
            <w:tcW w:type="dxa" w:w="7272"/>
            <w:vAlign w:val="center"/>
            <w:tcBorders>
              <w:top w:val="single" w:sz="4" w:color="D9D9D9"/>
              <w:left w:val="single" w:sz="4" w:color="D9D9D9"/>
              <w:bottom w:val="single" w:sz="4" w:color="D9D9D9"/>
              <w:right w:val="single" w:sz="4" w:color="D9D9D9"/>
            </w:tcBorders>
            <w:tcMar>
              <w:top w:w="75" w:type="dxa"/>
              <w:start w:w="95" w:type="dxa"/>
              <w:bottom w:w="75" w:type="dxa"/>
              <w:end w:w="95" w:type="dxa"/>
            </w:tcMar>
          </w:tcPr>
          <w:p>
            <w:pPr>
              <w:spacing w:after="0" w:line="259" w:lineRule="auto"/>
            </w:pPr>
            <w:r>
              <w:rPr>
                <w:sz w:val="16"/>
              </w:rPr>
              <w:t>One defined user group and one specific decision task; a few user interviews and measured task outcomes; realistic limits on data access and publication.</w:t>
            </w:r>
          </w:p>
        </w:tc>
      </w:tr>
      <w:tr>
        <w:trPr>
          <w:cantSplit/>
        </w:trPr>
        <w:tc>
          <w:tcPr>
            <w:tcW w:type="dxa" w:w="2232"/>
            <w:vAlign w:val="center"/>
            <w:shd w:fill="F3F6F8"/>
            <w:tcBorders>
              <w:top w:val="single" w:sz="4" w:color="D9D9D9"/>
              <w:left w:val="single" w:sz="4" w:color="D9D9D9"/>
              <w:bottom w:val="single" w:sz="4" w:color="D9D9D9"/>
              <w:right w:val="single" w:sz="4" w:color="D9D9D9"/>
            </w:tcBorders>
            <w:tcMar>
              <w:top w:w="75" w:type="dxa"/>
              <w:start w:w="95" w:type="dxa"/>
              <w:bottom w:w="75" w:type="dxa"/>
              <w:end w:w="95" w:type="dxa"/>
            </w:tcMar>
          </w:tcPr>
          <w:p>
            <w:pPr>
              <w:spacing w:after="0" w:line="259" w:lineRule="auto"/>
            </w:pPr>
            <w:r>
              <w:rPr>
                <w:sz w:val="16"/>
              </w:rPr>
              <w:t>Quality of idea</w:t>
            </w:r>
          </w:p>
        </w:tc>
        <w:tc>
          <w:tcPr>
            <w:tcW w:type="dxa" w:w="7272"/>
            <w:vAlign w:val="center"/>
            <w:shd w:fill="F3F6F8"/>
            <w:tcBorders>
              <w:top w:val="single" w:sz="4" w:color="D9D9D9"/>
              <w:left w:val="single" w:sz="4" w:color="D9D9D9"/>
              <w:bottom w:val="single" w:sz="4" w:color="D9D9D9"/>
              <w:right w:val="single" w:sz="4" w:color="D9D9D9"/>
            </w:tcBorders>
            <w:tcMar>
              <w:top w:w="75" w:type="dxa"/>
              <w:start w:w="95" w:type="dxa"/>
              <w:bottom w:w="75" w:type="dxa"/>
              <w:end w:w="95" w:type="dxa"/>
            </w:tcMar>
          </w:tcPr>
          <w:p>
            <w:pPr>
              <w:spacing w:after="0" w:line="259" w:lineRule="auto"/>
            </w:pPr>
            <w:r>
              <w:rPr>
                <w:sz w:val="16"/>
              </w:rPr>
              <w:t>Orchestration across independent sources and accounts, persistent context, counterevidence and a user controlled transaction; avoid presenting a basic API wrapper as innovation.</w:t>
            </w:r>
          </w:p>
        </w:tc>
      </w:tr>
    </w:tbl>
    <w:p>
      <w:pPr>
        <w:spacing w:after="20"/>
      </w:pPr>
    </w:p>
    <w:p>
      <w:r>
        <w:t>The four criteria are equally weighted. The official rules name basic MCP wrappers as obvious and cross service, stateful workflows as creative. Optional, specific friction logs can earn up to a 10 percent bonus. [1]</w:t>
      </w:r>
    </w:p>
    <w:p>
      <w:pPr>
        <w:pStyle w:val="Heading1"/>
      </w:pPr>
      <w:r>
        <w:t>Delivery plan with dates</w:t>
      </w:r>
    </w:p>
    <w:tbl>
      <w:tblPr>
        <w:tblW w:type="auto" w:w="0"/>
        <w:jc w:val="center"/>
        <w:tblLayout w:type="fixed"/>
        <w:tblLook w:firstColumn="1" w:firstRow="1" w:lastColumn="0" w:lastRow="0" w:noHBand="0" w:noVBand="1" w:val="04A0"/>
      </w:tblPr>
      <w:tblGrid>
        <w:gridCol w:w="1728"/>
        <w:gridCol w:w="7776"/>
      </w:tblGrid>
      <w:tr>
        <w:trPr>
          <w:tblHeader w:val="true"/>
        </w:trPr>
        <w:tc>
          <w:tcPr>
            <w:tcW w:type="dxa" w:w="4802"/>
            <w:shd w:fill="263746"/>
            <w:vAlign w:val="center"/>
            <w:tcBorders>
              <w:top w:val="single" w:sz="4" w:color="D9D9D9"/>
              <w:left w:val="single" w:sz="4" w:color="D9D9D9"/>
              <w:bottom w:val="single" w:sz="4" w:color="D9D9D9"/>
              <w:right w:val="single" w:sz="4" w:color="D9D9D9"/>
            </w:tcBorders>
            <w:tcMar>
              <w:top w:w="75" w:type="dxa"/>
              <w:start w:w="95" w:type="dxa"/>
              <w:bottom w:w="75" w:type="dxa"/>
              <w:end w:w="95" w:type="dxa"/>
            </w:tcMar>
          </w:tcPr>
          <w:p>
            <w:r>
              <w:rPr>
                <w:b/>
                <w:color w:val="FFFFFF"/>
                <w:sz w:val="17"/>
              </w:rPr>
              <w:t>Date in India</w:t>
            </w:r>
          </w:p>
        </w:tc>
        <w:tc>
          <w:tcPr>
            <w:tcW w:type="dxa" w:w="4802"/>
            <w:shd w:fill="263746"/>
            <w:vAlign w:val="center"/>
            <w:tcBorders>
              <w:top w:val="single" w:sz="4" w:color="D9D9D9"/>
              <w:left w:val="single" w:sz="4" w:color="D9D9D9"/>
              <w:bottom w:val="single" w:sz="4" w:color="D9D9D9"/>
              <w:right w:val="single" w:sz="4" w:color="D9D9D9"/>
            </w:tcBorders>
            <w:tcMar>
              <w:top w:w="75" w:type="dxa"/>
              <w:start w:w="95" w:type="dxa"/>
              <w:bottom w:w="75" w:type="dxa"/>
              <w:end w:w="95" w:type="dxa"/>
            </w:tcMar>
          </w:tcPr>
          <w:p>
            <w:r>
              <w:rPr>
                <w:b/>
                <w:color w:val="FFFFFF"/>
                <w:sz w:val="17"/>
              </w:rPr>
              <w:t>Deliverable and decision</w:t>
            </w:r>
          </w:p>
        </w:tc>
      </w:tr>
      <w:tr>
        <w:trPr>
          <w:cantSplit/>
        </w:trPr>
        <w:tc>
          <w:tcPr>
            <w:tcW w:type="dxa" w:w="1728"/>
            <w:vAlign w:val="center"/>
            <w:tcBorders>
              <w:top w:val="single" w:sz="4" w:color="D9D9D9"/>
              <w:left w:val="single" w:sz="4" w:color="D9D9D9"/>
              <w:bottom w:val="single" w:sz="4" w:color="D9D9D9"/>
              <w:right w:val="single" w:sz="4" w:color="D9D9D9"/>
            </w:tcBorders>
            <w:tcMar>
              <w:top w:w="75" w:type="dxa"/>
              <w:start w:w="95" w:type="dxa"/>
              <w:bottom w:w="75" w:type="dxa"/>
              <w:end w:w="95" w:type="dxa"/>
            </w:tcMar>
          </w:tcPr>
          <w:p>
            <w:pPr>
              <w:spacing w:after="0" w:line="259" w:lineRule="auto"/>
            </w:pPr>
            <w:r>
              <w:rPr>
                <w:sz w:val="16"/>
              </w:rPr>
              <w:t>10 to 12 Oct</w:t>
            </w:r>
          </w:p>
        </w:tc>
        <w:tc>
          <w:tcPr>
            <w:tcW w:type="dxa" w:w="7776"/>
            <w:vAlign w:val="center"/>
            <w:tcBorders>
              <w:top w:val="single" w:sz="4" w:color="D9D9D9"/>
              <w:left w:val="single" w:sz="4" w:color="D9D9D9"/>
              <w:bottom w:val="single" w:sz="4" w:color="D9D9D9"/>
              <w:right w:val="single" w:sz="4" w:color="D9D9D9"/>
            </w:tcBorders>
            <w:tcMar>
              <w:top w:w="75" w:type="dxa"/>
              <w:start w:w="95" w:type="dxa"/>
              <w:bottom w:w="75" w:type="dxa"/>
              <w:end w:w="95" w:type="dxa"/>
            </w:tcMar>
          </w:tcPr>
          <w:p>
            <w:pPr>
              <w:spacing w:after="0" w:line="259" w:lineRule="auto"/>
            </w:pPr>
            <w:r>
              <w:rPr>
                <w:sz w:val="16"/>
              </w:rPr>
              <w:t>Create the Devpost draft and repository. Establish Bedrock access, an MCP hello world and Upstox sandbox credentials. Attempt two authorized broker connections. Select one demonstrable Indian company and two primary disclosures. Decide the honest data path at the 12 Oct gate.</w:t>
            </w:r>
          </w:p>
        </w:tc>
      </w:tr>
      <w:tr>
        <w:trPr>
          <w:cantSplit/>
        </w:trPr>
        <w:tc>
          <w:tcPr>
            <w:tcW w:type="dxa" w:w="1728"/>
            <w:vAlign w:val="center"/>
            <w:shd w:fill="F3F6F8"/>
            <w:tcBorders>
              <w:top w:val="single" w:sz="4" w:color="D9D9D9"/>
              <w:left w:val="single" w:sz="4" w:color="D9D9D9"/>
              <w:bottom w:val="single" w:sz="4" w:color="D9D9D9"/>
              <w:right w:val="single" w:sz="4" w:color="D9D9D9"/>
            </w:tcBorders>
            <w:tcMar>
              <w:top w:w="75" w:type="dxa"/>
              <w:start w:w="95" w:type="dxa"/>
              <w:bottom w:w="75" w:type="dxa"/>
              <w:end w:w="95" w:type="dxa"/>
            </w:tcMar>
          </w:tcPr>
          <w:p>
            <w:pPr>
              <w:spacing w:after="0" w:line="259" w:lineRule="auto"/>
            </w:pPr>
            <w:r>
              <w:rPr>
                <w:sz w:val="16"/>
              </w:rPr>
              <w:t>13 to 15 Oct</w:t>
            </w:r>
          </w:p>
        </w:tc>
        <w:tc>
          <w:tcPr>
            <w:tcW w:type="dxa" w:w="7776"/>
            <w:vAlign w:val="center"/>
            <w:shd w:fill="F3F6F8"/>
            <w:tcBorders>
              <w:top w:val="single" w:sz="4" w:color="D9D9D9"/>
              <w:left w:val="single" w:sz="4" w:color="D9D9D9"/>
              <w:bottom w:val="single" w:sz="4" w:color="D9D9D9"/>
              <w:right w:val="single" w:sz="4" w:color="D9D9D9"/>
            </w:tcBorders>
            <w:tcMar>
              <w:top w:w="75" w:type="dxa"/>
              <w:start w:w="95" w:type="dxa"/>
              <w:bottom w:w="75" w:type="dxa"/>
              <w:end w:w="95" w:type="dxa"/>
            </w:tcMar>
          </w:tcPr>
          <w:p>
            <w:pPr>
              <w:spacing w:after="0" w:line="259" w:lineRule="auto"/>
            </w:pPr>
            <w:r>
              <w:rPr>
                <w:sz w:val="16"/>
              </w:rPr>
              <w:t>Build the MCP tool contracts, account adapter, source pack and deterministic exposure engine. Persist company and draft order state. Produce fixture mode.</w:t>
            </w:r>
          </w:p>
        </w:tc>
      </w:tr>
      <w:tr>
        <w:trPr>
          <w:cantSplit/>
        </w:trPr>
        <w:tc>
          <w:tcPr>
            <w:tcW w:type="dxa" w:w="1728"/>
            <w:vAlign w:val="center"/>
            <w:tcBorders>
              <w:top w:val="single" w:sz="4" w:color="D9D9D9"/>
              <w:left w:val="single" w:sz="4" w:color="D9D9D9"/>
              <w:bottom w:val="single" w:sz="4" w:color="D9D9D9"/>
              <w:right w:val="single" w:sz="4" w:color="D9D9D9"/>
            </w:tcBorders>
            <w:tcMar>
              <w:top w:w="75" w:type="dxa"/>
              <w:start w:w="95" w:type="dxa"/>
              <w:bottom w:w="75" w:type="dxa"/>
              <w:end w:w="95" w:type="dxa"/>
            </w:tcMar>
          </w:tcPr>
          <w:p>
            <w:pPr>
              <w:spacing w:after="0" w:line="259" w:lineRule="auto"/>
            </w:pPr>
            <w:r>
              <w:rPr>
                <w:sz w:val="16"/>
              </w:rPr>
              <w:t>16 to 18 Oct</w:t>
            </w:r>
          </w:p>
        </w:tc>
        <w:tc>
          <w:tcPr>
            <w:tcW w:type="dxa" w:w="7776"/>
            <w:vAlign w:val="center"/>
            <w:tcBorders>
              <w:top w:val="single" w:sz="4" w:color="D9D9D9"/>
              <w:left w:val="single" w:sz="4" w:color="D9D9D9"/>
              <w:bottom w:val="single" w:sz="4" w:color="D9D9D9"/>
              <w:right w:val="single" w:sz="4" w:color="D9D9D9"/>
            </w:tcBorders>
            <w:tcMar>
              <w:top w:w="75" w:type="dxa"/>
              <w:start w:w="95" w:type="dxa"/>
              <w:bottom w:w="75" w:type="dxa"/>
              <w:end w:w="95" w:type="dxa"/>
            </w:tcMar>
          </w:tcPr>
          <w:p>
            <w:pPr>
              <w:spacing w:after="0" w:line="259" w:lineRule="auto"/>
            </w:pPr>
            <w:r>
              <w:rPr>
                <w:sz w:val="16"/>
              </w:rPr>
              <w:t>Build browser voice and card interface. Integrate Bedrock and Upstox sandbox order preview, confirmation, submission and status. Label real versus sample data.</w:t>
            </w:r>
          </w:p>
        </w:tc>
      </w:tr>
      <w:tr>
        <w:trPr>
          <w:cantSplit/>
        </w:trPr>
        <w:tc>
          <w:tcPr>
            <w:tcW w:type="dxa" w:w="1728"/>
            <w:vAlign w:val="center"/>
            <w:shd w:fill="F3F6F8"/>
            <w:tcBorders>
              <w:top w:val="single" w:sz="4" w:color="D9D9D9"/>
              <w:left w:val="single" w:sz="4" w:color="D9D9D9"/>
              <w:bottom w:val="single" w:sz="4" w:color="D9D9D9"/>
              <w:right w:val="single" w:sz="4" w:color="D9D9D9"/>
            </w:tcBorders>
            <w:tcMar>
              <w:top w:w="75" w:type="dxa"/>
              <w:start w:w="95" w:type="dxa"/>
              <w:bottom w:w="75" w:type="dxa"/>
              <w:end w:w="95" w:type="dxa"/>
            </w:tcMar>
          </w:tcPr>
          <w:p>
            <w:pPr>
              <w:spacing w:after="0" w:line="259" w:lineRule="auto"/>
            </w:pPr>
            <w:r>
              <w:rPr>
                <w:sz w:val="16"/>
              </w:rPr>
              <w:t>19 to 20 Oct</w:t>
            </w:r>
          </w:p>
        </w:tc>
        <w:tc>
          <w:tcPr>
            <w:tcW w:type="dxa" w:w="7776"/>
            <w:vAlign w:val="center"/>
            <w:shd w:fill="F3F6F8"/>
            <w:tcBorders>
              <w:top w:val="single" w:sz="4" w:color="D9D9D9"/>
              <w:left w:val="single" w:sz="4" w:color="D9D9D9"/>
              <w:bottom w:val="single" w:sz="4" w:color="D9D9D9"/>
              <w:right w:val="single" w:sz="4" w:color="D9D9D9"/>
            </w:tcBorders>
            <w:tcMar>
              <w:top w:w="75" w:type="dxa"/>
              <w:start w:w="95" w:type="dxa"/>
              <w:bottom w:w="75" w:type="dxa"/>
              <w:end w:w="95" w:type="dxa"/>
            </w:tcMar>
          </w:tcPr>
          <w:p>
            <w:pPr>
              <w:spacing w:after="0" w:line="259" w:lineRule="auto"/>
            </w:pPr>
            <w:r>
              <w:rPr>
                <w:sz w:val="16"/>
              </w:rPr>
              <w:t>Run short observation sessions with 3 to 5 target users. Fix confusing speech, citations and order confirmation. Exercise stale source, failed broker and rejected order paths. Record friction log.</w:t>
            </w:r>
          </w:p>
        </w:tc>
      </w:tr>
      <w:tr>
        <w:trPr>
          <w:cantSplit/>
        </w:trPr>
        <w:tc>
          <w:tcPr>
            <w:tcW w:type="dxa" w:w="1728"/>
            <w:vAlign w:val="center"/>
            <w:tcBorders>
              <w:top w:val="single" w:sz="4" w:color="D9D9D9"/>
              <w:left w:val="single" w:sz="4" w:color="D9D9D9"/>
              <w:bottom w:val="single" w:sz="4" w:color="D9D9D9"/>
              <w:right w:val="single" w:sz="4" w:color="D9D9D9"/>
            </w:tcBorders>
            <w:tcMar>
              <w:top w:w="75" w:type="dxa"/>
              <w:start w:w="95" w:type="dxa"/>
              <w:bottom w:w="75" w:type="dxa"/>
              <w:end w:w="95" w:type="dxa"/>
            </w:tcMar>
          </w:tcPr>
          <w:p>
            <w:pPr>
              <w:spacing w:after="0" w:line="259" w:lineRule="auto"/>
            </w:pPr>
            <w:r>
              <w:rPr>
                <w:sz w:val="16"/>
              </w:rPr>
              <w:t>21 Oct</w:t>
            </w:r>
          </w:p>
        </w:tc>
        <w:tc>
          <w:tcPr>
            <w:tcW w:type="dxa" w:w="7776"/>
            <w:vAlign w:val="center"/>
            <w:tcBorders>
              <w:top w:val="single" w:sz="4" w:color="D9D9D9"/>
              <w:left w:val="single" w:sz="4" w:color="D9D9D9"/>
              <w:bottom w:val="single" w:sz="4" w:color="D9D9D9"/>
              <w:right w:val="single" w:sz="4" w:color="D9D9D9"/>
            </w:tcBorders>
            <w:tcMar>
              <w:top w:w="75" w:type="dxa"/>
              <w:start w:w="95" w:type="dxa"/>
              <w:bottom w:w="75" w:type="dxa"/>
              <w:end w:w="95" w:type="dxa"/>
            </w:tcMar>
          </w:tcPr>
          <w:p>
            <w:pPr>
              <w:spacing w:after="0" w:line="259" w:lineRule="auto"/>
            </w:pPr>
            <w:r>
              <w:rPr>
                <w:sz w:val="16"/>
              </w:rPr>
              <w:t>Freeze feature scope. Finish README, architecture diagram, setup instructions, license or reviewer access, product feedback, screenshots and written Devpost description.</w:t>
            </w:r>
          </w:p>
        </w:tc>
      </w:tr>
      <w:tr>
        <w:trPr>
          <w:cantSplit/>
        </w:trPr>
        <w:tc>
          <w:tcPr>
            <w:tcW w:type="dxa" w:w="1728"/>
            <w:vAlign w:val="center"/>
            <w:shd w:fill="F3F6F8"/>
            <w:tcBorders>
              <w:top w:val="single" w:sz="4" w:color="D9D9D9"/>
              <w:left w:val="single" w:sz="4" w:color="D9D9D9"/>
              <w:bottom w:val="single" w:sz="4" w:color="D9D9D9"/>
              <w:right w:val="single" w:sz="4" w:color="D9D9D9"/>
            </w:tcBorders>
            <w:tcMar>
              <w:top w:w="75" w:type="dxa"/>
              <w:start w:w="95" w:type="dxa"/>
              <w:bottom w:w="75" w:type="dxa"/>
              <w:end w:w="95" w:type="dxa"/>
            </w:tcMar>
          </w:tcPr>
          <w:p>
            <w:pPr>
              <w:spacing w:after="0" w:line="259" w:lineRule="auto"/>
            </w:pPr>
            <w:r>
              <w:rPr>
                <w:sz w:val="16"/>
              </w:rPr>
              <w:t>22 Oct</w:t>
            </w:r>
          </w:p>
        </w:tc>
        <w:tc>
          <w:tcPr>
            <w:tcW w:type="dxa" w:w="7776"/>
            <w:vAlign w:val="center"/>
            <w:shd w:fill="F3F6F8"/>
            <w:tcBorders>
              <w:top w:val="single" w:sz="4" w:color="D9D9D9"/>
              <w:left w:val="single" w:sz="4" w:color="D9D9D9"/>
              <w:bottom w:val="single" w:sz="4" w:color="D9D9D9"/>
              <w:right w:val="single" w:sz="4" w:color="D9D9D9"/>
            </w:tcBorders>
            <w:tcMar>
              <w:top w:w="75" w:type="dxa"/>
              <w:start w:w="95" w:type="dxa"/>
              <w:bottom w:w="75" w:type="dxa"/>
              <w:end w:w="95" w:type="dxa"/>
            </w:tcMar>
          </w:tcPr>
          <w:p>
            <w:pPr>
              <w:spacing w:after="0" w:line="259" w:lineRule="auto"/>
            </w:pPr>
            <w:r>
              <w:rPr>
                <w:sz w:val="16"/>
              </w:rPr>
              <w:t>Record and upload a public video under three minutes; perform a full rehearsal from a clean checkout; submit to Devpost by evening IST.</w:t>
            </w:r>
          </w:p>
        </w:tc>
      </w:tr>
      <w:tr>
        <w:trPr>
          <w:cantSplit/>
        </w:trPr>
        <w:tc>
          <w:tcPr>
            <w:tcW w:type="dxa" w:w="1728"/>
            <w:vAlign w:val="center"/>
            <w:tcBorders>
              <w:top w:val="single" w:sz="4" w:color="D9D9D9"/>
              <w:left w:val="single" w:sz="4" w:color="D9D9D9"/>
              <w:bottom w:val="single" w:sz="4" w:color="D9D9D9"/>
              <w:right w:val="single" w:sz="4" w:color="D9D9D9"/>
            </w:tcBorders>
            <w:tcMar>
              <w:top w:w="75" w:type="dxa"/>
              <w:start w:w="95" w:type="dxa"/>
              <w:bottom w:w="75" w:type="dxa"/>
              <w:end w:w="95" w:type="dxa"/>
            </w:tcMar>
          </w:tcPr>
          <w:p>
            <w:pPr>
              <w:spacing w:after="0" w:line="259" w:lineRule="auto"/>
            </w:pPr>
            <w:r>
              <w:rPr>
                <w:sz w:val="16"/>
              </w:rPr>
              <w:t>23 Oct</w:t>
            </w:r>
          </w:p>
        </w:tc>
        <w:tc>
          <w:tcPr>
            <w:tcW w:type="dxa" w:w="7776"/>
            <w:vAlign w:val="center"/>
            <w:tcBorders>
              <w:top w:val="single" w:sz="4" w:color="D9D9D9"/>
              <w:left w:val="single" w:sz="4" w:color="D9D9D9"/>
              <w:bottom w:val="single" w:sz="4" w:color="D9D9D9"/>
              <w:right w:val="single" w:sz="4" w:color="D9D9D9"/>
            </w:tcBorders>
            <w:tcMar>
              <w:top w:w="75" w:type="dxa"/>
              <w:start w:w="95" w:type="dxa"/>
              <w:bottom w:w="75" w:type="dxa"/>
              <w:end w:w="95" w:type="dxa"/>
            </w:tcMar>
          </w:tcPr>
          <w:p>
            <w:pPr>
              <w:spacing w:after="0" w:line="259" w:lineRule="auto"/>
            </w:pPr>
            <w:r>
              <w:rPr>
                <w:sz w:val="16"/>
              </w:rPr>
              <w:t>Buffer for broken links, video visibility, reviewer access or Devpost form issues. Official deadline is 23 Oct at 12:00 p.m. PDT, which is 24 Oct at 12:30 a.m. IST. [1]</w:t>
            </w:r>
          </w:p>
        </w:tc>
      </w:tr>
    </w:tbl>
    <w:p>
      <w:pPr>
        <w:spacing w:after="20"/>
      </w:pPr>
    </w:p>
    <w:p>
      <w:r>
        <w:t>Example ownership for a two person team: one person owns data access, MCP and deterministic calculations; the other owns the voice/card UX, source presentation, demo video and Devpost package. Both review the safety boundary and one another’s demo paths. Assign named owners in the team board rather than leaving shared tasks unowned.</w:t>
      </w:r>
    </w:p>
    <w:p>
      <w:pPr>
        <w:pStyle w:val="Heading1"/>
      </w:pPr>
      <w:r>
        <w:t>Submission package and final checklist</w:t>
      </w:r>
    </w:p>
    <w:p>
      <w:pPr>
        <w:pStyle w:val="ListBullet"/>
        <w:spacing w:after="60"/>
      </w:pPr>
      <w:r>
        <w:t>Devpost project description: problem, target user, complete workflow, technology, data provenance, what is real versus simulated, constraints and future path. Select Alexa Plus as the primary track. [1]</w:t>
      </w:r>
    </w:p>
    <w:p>
      <w:pPr>
        <w:pStyle w:val="ListBullet"/>
        <w:spacing w:after="60"/>
      </w:pPr>
      <w:r>
        <w:t>GitHub repository: all source and assets, open source license if public, setup and run instructions, test and fixture instructions, architecture diagram, data source list, API permissions and a safe way to configure keys. If private, share with the exact Amazon and Devpost reviewers listed in the current rules before deadline. [1][2]</w:t>
      </w:r>
    </w:p>
    <w:p>
      <w:pPr>
        <w:pStyle w:val="ListBullet"/>
        <w:spacing w:after="60"/>
      </w:pPr>
      <w:r>
        <w:t>Public YouTube or Vimeo video under three minutes: show a live browser interaction, traceable evidence, changed exposure, explicit paper order confirmation and sandbox response. Judges need not watch past three minutes. [1]</w:t>
      </w:r>
    </w:p>
    <w:p>
      <w:pPr>
        <w:pStyle w:val="ListBullet"/>
        <w:spacing w:after="60"/>
      </w:pPr>
      <w:r>
        <w:t>Product feedback for each major tool or API: what it did, what worked, what failed, zero to hello world experience and whether the team would use it again. Document Bedrock use if entering AWS Builder. [1]</w:t>
      </w:r>
    </w:p>
    <w:p>
      <w:pPr>
        <w:pStyle w:val="ListBullet"/>
        <w:spacing w:after="60"/>
      </w:pPr>
      <w:r>
        <w:t>Optional friction log with attempted task, steps, expected versus actual result, severity, workaround and suggested fix. Enter Open Source only if a separate meaningful project or contribution is ready; a routine README change will not help. [1]</w:t>
      </w:r>
    </w:p>
    <w:p>
      <w:r>
        <w:t>The final submission is due 23 October at 12:00 p.m. PDT / 24 October at 12:30 a.m. IST. Judging is 9 to 20 November, and the project must remain free and accessible for judges through that period. The advertised 150 dollar AWS promotional credit request closed after codes ran out on 7 October. [1]</w:t>
      </w:r>
    </w:p>
    <w:p>
      <w:pPr>
        <w:pStyle w:val="Heading1"/>
      </w:pPr>
      <w:r>
        <w:t>Suggested demo script</w:t>
      </w:r>
    </w:p>
    <w:tbl>
      <w:tblPr>
        <w:tblW w:type="auto" w:w="0"/>
        <w:jc w:val="center"/>
        <w:tblLayout w:type="fixed"/>
        <w:tblLook w:firstColumn="1" w:firstRow="1" w:lastColumn="0" w:lastRow="0" w:noHBand="0" w:noVBand="1" w:val="04A0"/>
      </w:tblPr>
      <w:tblGrid>
        <w:gridCol w:w="1584"/>
        <w:gridCol w:w="7920"/>
      </w:tblGrid>
      <w:tr>
        <w:trPr>
          <w:tblHeader w:val="true"/>
        </w:trPr>
        <w:tc>
          <w:tcPr>
            <w:tcW w:type="dxa" w:w="4802"/>
            <w:shd w:fill="263746"/>
            <w:vAlign w:val="center"/>
            <w:tcBorders>
              <w:top w:val="single" w:sz="4" w:color="D9D9D9"/>
              <w:left w:val="single" w:sz="4" w:color="D9D9D9"/>
              <w:bottom w:val="single" w:sz="4" w:color="D9D9D9"/>
              <w:right w:val="single" w:sz="4" w:color="D9D9D9"/>
            </w:tcBorders>
            <w:tcMar>
              <w:top w:w="75" w:type="dxa"/>
              <w:start w:w="95" w:type="dxa"/>
              <w:bottom w:w="75" w:type="dxa"/>
              <w:end w:w="95" w:type="dxa"/>
            </w:tcMar>
          </w:tcPr>
          <w:p>
            <w:r>
              <w:rPr>
                <w:b/>
                <w:color w:val="FFFFFF"/>
                <w:sz w:val="17"/>
              </w:rPr>
              <w:t>Time</w:t>
            </w:r>
          </w:p>
        </w:tc>
        <w:tc>
          <w:tcPr>
            <w:tcW w:type="dxa" w:w="4802"/>
            <w:shd w:fill="263746"/>
            <w:vAlign w:val="center"/>
            <w:tcBorders>
              <w:top w:val="single" w:sz="4" w:color="D9D9D9"/>
              <w:left w:val="single" w:sz="4" w:color="D9D9D9"/>
              <w:bottom w:val="single" w:sz="4" w:color="D9D9D9"/>
              <w:right w:val="single" w:sz="4" w:color="D9D9D9"/>
            </w:tcBorders>
            <w:tcMar>
              <w:top w:w="75" w:type="dxa"/>
              <w:start w:w="95" w:type="dxa"/>
              <w:bottom w:w="75" w:type="dxa"/>
              <w:end w:w="95" w:type="dxa"/>
            </w:tcMar>
          </w:tcPr>
          <w:p>
            <w:r>
              <w:rPr>
                <w:b/>
                <w:color w:val="FFFFFF"/>
                <w:sz w:val="17"/>
              </w:rPr>
              <w:t>On screen and spoken proof</w:t>
            </w:r>
          </w:p>
        </w:tc>
      </w:tr>
      <w:tr>
        <w:trPr>
          <w:cantSplit/>
        </w:trPr>
        <w:tc>
          <w:tcPr>
            <w:tcW w:type="dxa" w:w="1584"/>
            <w:vAlign w:val="center"/>
            <w:tcBorders>
              <w:top w:val="single" w:sz="4" w:color="D9D9D9"/>
              <w:left w:val="single" w:sz="4" w:color="D9D9D9"/>
              <w:bottom w:val="single" w:sz="4" w:color="D9D9D9"/>
              <w:right w:val="single" w:sz="4" w:color="D9D9D9"/>
            </w:tcBorders>
            <w:tcMar>
              <w:top w:w="75" w:type="dxa"/>
              <w:start w:w="95" w:type="dxa"/>
              <w:bottom w:w="75" w:type="dxa"/>
              <w:end w:w="95" w:type="dxa"/>
            </w:tcMar>
          </w:tcPr>
          <w:p>
            <w:pPr>
              <w:spacing w:after="0" w:line="259" w:lineRule="auto"/>
            </w:pPr>
            <w:r>
              <w:rPr>
                <w:sz w:val="16"/>
              </w:rPr>
              <w:t>0:00 to 0:20</w:t>
            </w:r>
          </w:p>
        </w:tc>
        <w:tc>
          <w:tcPr>
            <w:tcW w:type="dxa" w:w="7920"/>
            <w:vAlign w:val="center"/>
            <w:tcBorders>
              <w:top w:val="single" w:sz="4" w:color="D9D9D9"/>
              <w:left w:val="single" w:sz="4" w:color="D9D9D9"/>
              <w:bottom w:val="single" w:sz="4" w:color="D9D9D9"/>
              <w:right w:val="single" w:sz="4" w:color="D9D9D9"/>
            </w:tcBorders>
            <w:tcMar>
              <w:top w:w="75" w:type="dxa"/>
              <w:start w:w="95" w:type="dxa"/>
              <w:bottom w:w="75" w:type="dxa"/>
              <w:end w:w="95" w:type="dxa"/>
            </w:tcMar>
          </w:tcPr>
          <w:p>
            <w:pPr>
              <w:spacing w:after="0" w:line="259" w:lineRule="auto"/>
            </w:pPr>
            <w:r>
              <w:rPr>
                <w:sz w:val="16"/>
              </w:rPr>
              <w:t>State the problem: two broker accounts, scattered company research. Show connected accounts or honest fixture labels.</w:t>
            </w:r>
          </w:p>
        </w:tc>
      </w:tr>
      <w:tr>
        <w:trPr>
          <w:cantSplit/>
        </w:trPr>
        <w:tc>
          <w:tcPr>
            <w:tcW w:type="dxa" w:w="1584"/>
            <w:vAlign w:val="center"/>
            <w:shd w:fill="F3F6F8"/>
            <w:tcBorders>
              <w:top w:val="single" w:sz="4" w:color="D9D9D9"/>
              <w:left w:val="single" w:sz="4" w:color="D9D9D9"/>
              <w:bottom w:val="single" w:sz="4" w:color="D9D9D9"/>
              <w:right w:val="single" w:sz="4" w:color="D9D9D9"/>
            </w:tcBorders>
            <w:tcMar>
              <w:top w:w="75" w:type="dxa"/>
              <w:start w:w="95" w:type="dxa"/>
              <w:bottom w:w="75" w:type="dxa"/>
              <w:end w:w="95" w:type="dxa"/>
            </w:tcMar>
          </w:tcPr>
          <w:p>
            <w:pPr>
              <w:spacing w:after="0" w:line="259" w:lineRule="auto"/>
            </w:pPr>
            <w:r>
              <w:rPr>
                <w:sz w:val="16"/>
              </w:rPr>
              <w:t>0:20 to 1:05</w:t>
            </w:r>
          </w:p>
        </w:tc>
        <w:tc>
          <w:tcPr>
            <w:tcW w:type="dxa" w:w="7920"/>
            <w:vAlign w:val="center"/>
            <w:shd w:fill="F3F6F8"/>
            <w:tcBorders>
              <w:top w:val="single" w:sz="4" w:color="D9D9D9"/>
              <w:left w:val="single" w:sz="4" w:color="D9D9D9"/>
              <w:bottom w:val="single" w:sz="4" w:color="D9D9D9"/>
              <w:right w:val="single" w:sz="4" w:color="D9D9D9"/>
            </w:tcBorders>
            <w:tcMar>
              <w:top w:w="75" w:type="dxa"/>
              <w:start w:w="95" w:type="dxa"/>
              <w:bottom w:w="75" w:type="dxa"/>
              <w:end w:w="95" w:type="dxa"/>
            </w:tcMar>
          </w:tcPr>
          <w:p>
            <w:pPr>
              <w:spacing w:after="0" w:line="259" w:lineRule="auto"/>
            </w:pPr>
            <w:r>
              <w:rPr>
                <w:sz w:val="16"/>
              </w:rPr>
              <w:t>Ask about the selected company. Display dated official sources, concise spoken summary and one linked supporting excerpt.</w:t>
            </w:r>
          </w:p>
        </w:tc>
      </w:tr>
      <w:tr>
        <w:trPr>
          <w:cantSplit/>
        </w:trPr>
        <w:tc>
          <w:tcPr>
            <w:tcW w:type="dxa" w:w="1584"/>
            <w:vAlign w:val="center"/>
            <w:tcBorders>
              <w:top w:val="single" w:sz="4" w:color="D9D9D9"/>
              <w:left w:val="single" w:sz="4" w:color="D9D9D9"/>
              <w:bottom w:val="single" w:sz="4" w:color="D9D9D9"/>
              <w:right w:val="single" w:sz="4" w:color="D9D9D9"/>
            </w:tcBorders>
            <w:tcMar>
              <w:top w:w="75" w:type="dxa"/>
              <w:start w:w="95" w:type="dxa"/>
              <w:bottom w:w="75" w:type="dxa"/>
              <w:end w:w="95" w:type="dxa"/>
            </w:tcMar>
          </w:tcPr>
          <w:p>
            <w:pPr>
              <w:spacing w:after="0" w:line="259" w:lineRule="auto"/>
            </w:pPr>
            <w:r>
              <w:rPr>
                <w:sz w:val="16"/>
              </w:rPr>
              <w:t>1:05 to 1:35</w:t>
            </w:r>
          </w:p>
        </w:tc>
        <w:tc>
          <w:tcPr>
            <w:tcW w:type="dxa" w:w="7920"/>
            <w:vAlign w:val="center"/>
            <w:tcBorders>
              <w:top w:val="single" w:sz="4" w:color="D9D9D9"/>
              <w:left w:val="single" w:sz="4" w:color="D9D9D9"/>
              <w:bottom w:val="single" w:sz="4" w:color="D9D9D9"/>
              <w:right w:val="single" w:sz="4" w:color="D9D9D9"/>
            </w:tcBorders>
            <w:tcMar>
              <w:top w:w="75" w:type="dxa"/>
              <w:start w:w="95" w:type="dxa"/>
              <w:bottom w:w="75" w:type="dxa"/>
              <w:end w:w="95" w:type="dxa"/>
            </w:tcMar>
          </w:tcPr>
          <w:p>
            <w:pPr>
              <w:spacing w:after="0" w:line="259" w:lineRule="auto"/>
            </w:pPr>
            <w:r>
              <w:rPr>
                <w:sz w:val="16"/>
              </w:rPr>
              <w:t>Ask “What argues against this?” Show counterevidence or an explicit evidence gap.</w:t>
            </w:r>
          </w:p>
        </w:tc>
      </w:tr>
      <w:tr>
        <w:trPr>
          <w:cantSplit/>
        </w:trPr>
        <w:tc>
          <w:tcPr>
            <w:tcW w:type="dxa" w:w="1584"/>
            <w:vAlign w:val="center"/>
            <w:shd w:fill="F3F6F8"/>
            <w:tcBorders>
              <w:top w:val="single" w:sz="4" w:color="D9D9D9"/>
              <w:left w:val="single" w:sz="4" w:color="D9D9D9"/>
              <w:bottom w:val="single" w:sz="4" w:color="D9D9D9"/>
              <w:right w:val="single" w:sz="4" w:color="D9D9D9"/>
            </w:tcBorders>
            <w:tcMar>
              <w:top w:w="75" w:type="dxa"/>
              <w:start w:w="95" w:type="dxa"/>
              <w:bottom w:w="75" w:type="dxa"/>
              <w:end w:w="95" w:type="dxa"/>
            </w:tcMar>
          </w:tcPr>
          <w:p>
            <w:pPr>
              <w:spacing w:after="0" w:line="259" w:lineRule="auto"/>
            </w:pPr>
            <w:r>
              <w:rPr>
                <w:sz w:val="16"/>
              </w:rPr>
              <w:t>1:35 to 2:15</w:t>
            </w:r>
          </w:p>
        </w:tc>
        <w:tc>
          <w:tcPr>
            <w:tcW w:type="dxa" w:w="7920"/>
            <w:vAlign w:val="center"/>
            <w:shd w:fill="F3F6F8"/>
            <w:tcBorders>
              <w:top w:val="single" w:sz="4" w:color="D9D9D9"/>
              <w:left w:val="single" w:sz="4" w:color="D9D9D9"/>
              <w:bottom w:val="single" w:sz="4" w:color="D9D9D9"/>
              <w:right w:val="single" w:sz="4" w:color="D9D9D9"/>
            </w:tcBorders>
            <w:tcMar>
              <w:top w:w="75" w:type="dxa"/>
              <w:start w:w="95" w:type="dxa"/>
              <w:bottom w:w="75" w:type="dxa"/>
              <w:end w:w="95" w:type="dxa"/>
            </w:tcMar>
          </w:tcPr>
          <w:p>
            <w:pPr>
              <w:spacing w:after="0" w:line="259" w:lineRule="auto"/>
            </w:pPr>
            <w:r>
              <w:rPr>
                <w:sz w:val="16"/>
              </w:rPr>
              <w:t>Ask how buying a specified quantity changes combined exposure. Show current and after values; adjust quantity by voice to prove state and recalculation.</w:t>
            </w:r>
          </w:p>
        </w:tc>
      </w:tr>
      <w:tr>
        <w:trPr>
          <w:cantSplit/>
        </w:trPr>
        <w:tc>
          <w:tcPr>
            <w:tcW w:type="dxa" w:w="1584"/>
            <w:vAlign w:val="center"/>
            <w:tcBorders>
              <w:top w:val="single" w:sz="4" w:color="D9D9D9"/>
              <w:left w:val="single" w:sz="4" w:color="D9D9D9"/>
              <w:bottom w:val="single" w:sz="4" w:color="D9D9D9"/>
              <w:right w:val="single" w:sz="4" w:color="D9D9D9"/>
            </w:tcBorders>
            <w:tcMar>
              <w:top w:w="75" w:type="dxa"/>
              <w:start w:w="95" w:type="dxa"/>
              <w:bottom w:w="75" w:type="dxa"/>
              <w:end w:w="95" w:type="dxa"/>
            </w:tcMar>
          </w:tcPr>
          <w:p>
            <w:pPr>
              <w:spacing w:after="0" w:line="259" w:lineRule="auto"/>
            </w:pPr>
            <w:r>
              <w:rPr>
                <w:sz w:val="16"/>
              </w:rPr>
              <w:t>2:15 to 2:50</w:t>
            </w:r>
          </w:p>
        </w:tc>
        <w:tc>
          <w:tcPr>
            <w:tcW w:type="dxa" w:w="7920"/>
            <w:vAlign w:val="center"/>
            <w:tcBorders>
              <w:top w:val="single" w:sz="4" w:color="D9D9D9"/>
              <w:left w:val="single" w:sz="4" w:color="D9D9D9"/>
              <w:bottom w:val="single" w:sz="4" w:color="D9D9D9"/>
              <w:right w:val="single" w:sz="4" w:color="D9D9D9"/>
            </w:tcBorders>
            <w:tcMar>
              <w:top w:w="75" w:type="dxa"/>
              <w:start w:w="95" w:type="dxa"/>
              <w:bottom w:w="75" w:type="dxa"/>
              <w:end w:w="95" w:type="dxa"/>
            </w:tcMar>
          </w:tcPr>
          <w:p>
            <w:pPr>
              <w:spacing w:after="0" w:line="259" w:lineRule="auto"/>
            </w:pPr>
            <w:r>
              <w:rPr>
                <w:sz w:val="16"/>
              </w:rPr>
              <w:t>Preview a sandbox limit order, explicitly confirm, show Upstox sandbox order ID and status. Finish on an evidence/decision summary, not a performance claim.</w:t>
            </w:r>
          </w:p>
        </w:tc>
      </w:tr>
    </w:tbl>
    <w:p>
      <w:pPr>
        <w:spacing w:after="20"/>
      </w:pPr>
    </w:p>
    <w:p>
      <w:pPr>
        <w:pStyle w:val="Heading1"/>
      </w:pPr>
      <w:r>
        <w:t>Open risks and stop conditions</w:t>
      </w:r>
    </w:p>
    <w:tbl>
      <w:tblPr>
        <w:tblW w:type="auto" w:w="0"/>
        <w:jc w:val="center"/>
        <w:tblLayout w:type="fixed"/>
        <w:tblLook w:firstColumn="1" w:firstRow="1" w:lastColumn="0" w:lastRow="0" w:noHBand="0" w:noVBand="1" w:val="04A0"/>
      </w:tblPr>
      <w:tblGrid>
        <w:gridCol w:w="3096"/>
        <w:gridCol w:w="6408"/>
      </w:tblGrid>
      <w:tr>
        <w:trPr>
          <w:tblHeader w:val="true"/>
        </w:trPr>
        <w:tc>
          <w:tcPr>
            <w:tcW w:type="dxa" w:w="4802"/>
            <w:shd w:fill="263746"/>
            <w:vAlign w:val="center"/>
            <w:tcBorders>
              <w:top w:val="single" w:sz="4" w:color="D9D9D9"/>
              <w:left w:val="single" w:sz="4" w:color="D9D9D9"/>
              <w:bottom w:val="single" w:sz="4" w:color="D9D9D9"/>
              <w:right w:val="single" w:sz="4" w:color="D9D9D9"/>
            </w:tcBorders>
            <w:tcMar>
              <w:top w:w="75" w:type="dxa"/>
              <w:start w:w="95" w:type="dxa"/>
              <w:bottom w:w="75" w:type="dxa"/>
              <w:end w:w="95" w:type="dxa"/>
            </w:tcMar>
          </w:tcPr>
          <w:p>
            <w:r>
              <w:rPr>
                <w:b/>
                <w:color w:val="FFFFFF"/>
                <w:sz w:val="17"/>
              </w:rPr>
              <w:t>Risk</w:t>
            </w:r>
          </w:p>
        </w:tc>
        <w:tc>
          <w:tcPr>
            <w:tcW w:type="dxa" w:w="4802"/>
            <w:shd w:fill="263746"/>
            <w:vAlign w:val="center"/>
            <w:tcBorders>
              <w:top w:val="single" w:sz="4" w:color="D9D9D9"/>
              <w:left w:val="single" w:sz="4" w:color="D9D9D9"/>
              <w:bottom w:val="single" w:sz="4" w:color="D9D9D9"/>
              <w:right w:val="single" w:sz="4" w:color="D9D9D9"/>
            </w:tcBorders>
            <w:tcMar>
              <w:top w:w="75" w:type="dxa"/>
              <w:start w:w="95" w:type="dxa"/>
              <w:bottom w:w="75" w:type="dxa"/>
              <w:end w:w="95" w:type="dxa"/>
            </w:tcMar>
          </w:tcPr>
          <w:p>
            <w:r>
              <w:rPr>
                <w:b/>
                <w:color w:val="FFFFFF"/>
                <w:sz w:val="17"/>
              </w:rPr>
              <w:t>Response</w:t>
            </w:r>
          </w:p>
        </w:tc>
      </w:tr>
      <w:tr>
        <w:trPr>
          <w:cantSplit/>
        </w:trPr>
        <w:tc>
          <w:tcPr>
            <w:tcW w:type="dxa" w:w="3096"/>
            <w:vAlign w:val="center"/>
            <w:tcBorders>
              <w:top w:val="single" w:sz="4" w:color="D9D9D9"/>
              <w:left w:val="single" w:sz="4" w:color="D9D9D9"/>
              <w:bottom w:val="single" w:sz="4" w:color="D9D9D9"/>
              <w:right w:val="single" w:sz="4" w:color="D9D9D9"/>
            </w:tcBorders>
            <w:tcMar>
              <w:top w:w="75" w:type="dxa"/>
              <w:start w:w="95" w:type="dxa"/>
              <w:bottom w:w="75" w:type="dxa"/>
              <w:end w:w="95" w:type="dxa"/>
            </w:tcMar>
          </w:tcPr>
          <w:p>
            <w:pPr>
              <w:spacing w:after="0" w:line="259" w:lineRule="auto"/>
            </w:pPr>
            <w:r>
              <w:rPr>
                <w:sz w:val="16"/>
              </w:rPr>
              <w:t>Broker connection approval takes too long</w:t>
            </w:r>
          </w:p>
        </w:tc>
        <w:tc>
          <w:tcPr>
            <w:tcW w:type="dxa" w:w="6408"/>
            <w:vAlign w:val="center"/>
            <w:tcBorders>
              <w:top w:val="single" w:sz="4" w:color="D9D9D9"/>
              <w:left w:val="single" w:sz="4" w:color="D9D9D9"/>
              <w:bottom w:val="single" w:sz="4" w:color="D9D9D9"/>
              <w:right w:val="single" w:sz="4" w:color="D9D9D9"/>
            </w:tcBorders>
            <w:tcMar>
              <w:top w:w="75" w:type="dxa"/>
              <w:start w:w="95" w:type="dxa"/>
              <w:bottom w:w="75" w:type="dxa"/>
              <w:end w:w="95" w:type="dxa"/>
            </w:tcMar>
          </w:tcPr>
          <w:p>
            <w:pPr>
              <w:spacing w:after="0" w:line="259" w:lineRule="auto"/>
            </w:pPr>
            <w:r>
              <w:rPr>
                <w:sz w:val="16"/>
              </w:rPr>
              <w:t>Use one consenting Personal account or fixture mode. Do not build the core around approval arriving.</w:t>
            </w:r>
          </w:p>
        </w:tc>
      </w:tr>
      <w:tr>
        <w:trPr>
          <w:cantSplit/>
        </w:trPr>
        <w:tc>
          <w:tcPr>
            <w:tcW w:type="dxa" w:w="3096"/>
            <w:vAlign w:val="center"/>
            <w:shd w:fill="F3F6F8"/>
            <w:tcBorders>
              <w:top w:val="single" w:sz="4" w:color="D9D9D9"/>
              <w:left w:val="single" w:sz="4" w:color="D9D9D9"/>
              <w:bottom w:val="single" w:sz="4" w:color="D9D9D9"/>
              <w:right w:val="single" w:sz="4" w:color="D9D9D9"/>
            </w:tcBorders>
            <w:tcMar>
              <w:top w:w="75" w:type="dxa"/>
              <w:start w:w="95" w:type="dxa"/>
              <w:bottom w:w="75" w:type="dxa"/>
              <w:end w:w="95" w:type="dxa"/>
            </w:tcMar>
          </w:tcPr>
          <w:p>
            <w:pPr>
              <w:spacing w:after="0" w:line="259" w:lineRule="auto"/>
            </w:pPr>
            <w:r>
              <w:rPr>
                <w:sz w:val="16"/>
              </w:rPr>
              <w:t>Exchange document ingestion is brittle or unlicensed</w:t>
            </w:r>
          </w:p>
        </w:tc>
        <w:tc>
          <w:tcPr>
            <w:tcW w:type="dxa" w:w="6408"/>
            <w:vAlign w:val="center"/>
            <w:shd w:fill="F3F6F8"/>
            <w:tcBorders>
              <w:top w:val="single" w:sz="4" w:color="D9D9D9"/>
              <w:left w:val="single" w:sz="4" w:color="D9D9D9"/>
              <w:bottom w:val="single" w:sz="4" w:color="D9D9D9"/>
              <w:right w:val="single" w:sz="4" w:color="D9D9D9"/>
            </w:tcBorders>
            <w:tcMar>
              <w:top w:w="75" w:type="dxa"/>
              <w:start w:w="95" w:type="dxa"/>
              <w:bottom w:w="75" w:type="dxa"/>
              <w:end w:w="95" w:type="dxa"/>
            </w:tcMar>
          </w:tcPr>
          <w:p>
            <w:pPr>
              <w:spacing w:after="0" w:line="259" w:lineRule="auto"/>
            </w:pPr>
            <w:r>
              <w:rPr>
                <w:sz w:val="16"/>
              </w:rPr>
              <w:t>Use a bounded, linked source pack and avoid bulk scraping until terms are verified.</w:t>
            </w:r>
          </w:p>
        </w:tc>
      </w:tr>
      <w:tr>
        <w:trPr>
          <w:cantSplit/>
        </w:trPr>
        <w:tc>
          <w:tcPr>
            <w:tcW w:type="dxa" w:w="3096"/>
            <w:vAlign w:val="center"/>
            <w:tcBorders>
              <w:top w:val="single" w:sz="4" w:color="D9D9D9"/>
              <w:left w:val="single" w:sz="4" w:color="D9D9D9"/>
              <w:bottom w:val="single" w:sz="4" w:color="D9D9D9"/>
              <w:right w:val="single" w:sz="4" w:color="D9D9D9"/>
            </w:tcBorders>
            <w:tcMar>
              <w:top w:w="75" w:type="dxa"/>
              <w:start w:w="95" w:type="dxa"/>
              <w:bottom w:w="75" w:type="dxa"/>
              <w:end w:w="95" w:type="dxa"/>
            </w:tcMar>
          </w:tcPr>
          <w:p>
            <w:pPr>
              <w:spacing w:after="0" w:line="259" w:lineRule="auto"/>
            </w:pPr>
            <w:r>
              <w:rPr>
                <w:sz w:val="16"/>
              </w:rPr>
              <w:t>A live model invents a claim or number</w:t>
            </w:r>
          </w:p>
        </w:tc>
        <w:tc>
          <w:tcPr>
            <w:tcW w:type="dxa" w:w="6408"/>
            <w:vAlign w:val="center"/>
            <w:tcBorders>
              <w:top w:val="single" w:sz="4" w:color="D9D9D9"/>
              <w:left w:val="single" w:sz="4" w:color="D9D9D9"/>
              <w:bottom w:val="single" w:sz="4" w:color="D9D9D9"/>
              <w:right w:val="single" w:sz="4" w:color="D9D9D9"/>
            </w:tcBorders>
            <w:tcMar>
              <w:top w:w="75" w:type="dxa"/>
              <w:start w:w="95" w:type="dxa"/>
              <w:bottom w:w="75" w:type="dxa"/>
              <w:end w:w="95" w:type="dxa"/>
            </w:tcMar>
          </w:tcPr>
          <w:p>
            <w:pPr>
              <w:spacing w:after="0" w:line="259" w:lineRule="auto"/>
            </w:pPr>
            <w:r>
              <w:rPr>
                <w:sz w:val="16"/>
              </w:rPr>
              <w:t>Require tool sourced facts and deterministic math; suppress unsupported sentences; keep a curated demo company.</w:t>
            </w:r>
          </w:p>
        </w:tc>
      </w:tr>
      <w:tr>
        <w:trPr>
          <w:cantSplit/>
        </w:trPr>
        <w:tc>
          <w:tcPr>
            <w:tcW w:type="dxa" w:w="3096"/>
            <w:vAlign w:val="center"/>
            <w:shd w:fill="F3F6F8"/>
            <w:tcBorders>
              <w:top w:val="single" w:sz="4" w:color="D9D9D9"/>
              <w:left w:val="single" w:sz="4" w:color="D9D9D9"/>
              <w:bottom w:val="single" w:sz="4" w:color="D9D9D9"/>
              <w:right w:val="single" w:sz="4" w:color="D9D9D9"/>
            </w:tcBorders>
            <w:tcMar>
              <w:top w:w="75" w:type="dxa"/>
              <w:start w:w="95" w:type="dxa"/>
              <w:bottom w:w="75" w:type="dxa"/>
              <w:end w:w="95" w:type="dxa"/>
            </w:tcMar>
          </w:tcPr>
          <w:p>
            <w:pPr>
              <w:spacing w:after="0" w:line="259" w:lineRule="auto"/>
            </w:pPr>
            <w:r>
              <w:rPr>
                <w:sz w:val="16"/>
              </w:rPr>
              <w:t>Sandbox order API coverage or token fails</w:t>
            </w:r>
          </w:p>
        </w:tc>
        <w:tc>
          <w:tcPr>
            <w:tcW w:type="dxa" w:w="6408"/>
            <w:vAlign w:val="center"/>
            <w:shd w:fill="F3F6F8"/>
            <w:tcBorders>
              <w:top w:val="single" w:sz="4" w:color="D9D9D9"/>
              <w:left w:val="single" w:sz="4" w:color="D9D9D9"/>
              <w:bottom w:val="single" w:sz="4" w:color="D9D9D9"/>
              <w:right w:val="single" w:sz="4" w:color="D9D9D9"/>
            </w:tcBorders>
            <w:tcMar>
              <w:top w:w="75" w:type="dxa"/>
              <w:start w:w="95" w:type="dxa"/>
              <w:bottom w:w="75" w:type="dxa"/>
              <w:end w:w="95" w:type="dxa"/>
            </w:tcMar>
          </w:tcPr>
          <w:p>
            <w:pPr>
              <w:spacing w:after="0" w:line="259" w:lineRule="auto"/>
            </w:pPr>
            <w:r>
              <w:rPr>
                <w:sz w:val="16"/>
              </w:rPr>
              <w:t>Verify the exact endpoint by 12 Oct; keep a second, plainly labeled internal paper engine only as contingency.</w:t>
            </w:r>
          </w:p>
        </w:tc>
      </w:tr>
      <w:tr>
        <w:trPr>
          <w:cantSplit/>
        </w:trPr>
        <w:tc>
          <w:tcPr>
            <w:tcW w:type="dxa" w:w="3096"/>
            <w:vAlign w:val="center"/>
            <w:tcBorders>
              <w:top w:val="single" w:sz="4" w:color="D9D9D9"/>
              <w:left w:val="single" w:sz="4" w:color="D9D9D9"/>
              <w:bottom w:val="single" w:sz="4" w:color="D9D9D9"/>
              <w:right w:val="single" w:sz="4" w:color="D9D9D9"/>
            </w:tcBorders>
            <w:tcMar>
              <w:top w:w="75" w:type="dxa"/>
              <w:start w:w="95" w:type="dxa"/>
              <w:bottom w:w="75" w:type="dxa"/>
              <w:end w:w="95" w:type="dxa"/>
            </w:tcMar>
          </w:tcPr>
          <w:p>
            <w:pPr>
              <w:spacing w:after="0" w:line="259" w:lineRule="auto"/>
            </w:pPr>
            <w:r>
              <w:rPr>
                <w:sz w:val="16"/>
              </w:rPr>
              <w:t>Voice recognition fails during filming</w:t>
            </w:r>
          </w:p>
        </w:tc>
        <w:tc>
          <w:tcPr>
            <w:tcW w:type="dxa" w:w="6408"/>
            <w:vAlign w:val="center"/>
            <w:tcBorders>
              <w:top w:val="single" w:sz="4" w:color="D9D9D9"/>
              <w:left w:val="single" w:sz="4" w:color="D9D9D9"/>
              <w:bottom w:val="single" w:sz="4" w:color="D9D9D9"/>
              <w:right w:val="single" w:sz="4" w:color="D9D9D9"/>
            </w:tcBorders>
            <w:tcMar>
              <w:top w:w="75" w:type="dxa"/>
              <w:start w:w="95" w:type="dxa"/>
              <w:bottom w:w="75" w:type="dxa"/>
              <w:end w:w="95" w:type="dxa"/>
            </w:tcMar>
          </w:tcPr>
          <w:p>
            <w:pPr>
              <w:spacing w:after="0" w:line="259" w:lineRule="auto"/>
            </w:pPr>
            <w:r>
              <w:rPr>
                <w:sz w:val="16"/>
              </w:rPr>
              <w:t>Provide text input with the same agent backend; narrate the attempt honestly rather than using a fake live recording.</w:t>
            </w:r>
          </w:p>
        </w:tc>
      </w:tr>
      <w:tr>
        <w:trPr>
          <w:cantSplit/>
        </w:trPr>
        <w:tc>
          <w:tcPr>
            <w:tcW w:type="dxa" w:w="3096"/>
            <w:vAlign w:val="center"/>
            <w:shd w:fill="F3F6F8"/>
            <w:tcBorders>
              <w:top w:val="single" w:sz="4" w:color="D9D9D9"/>
              <w:left w:val="single" w:sz="4" w:color="D9D9D9"/>
              <w:bottom w:val="single" w:sz="4" w:color="D9D9D9"/>
              <w:right w:val="single" w:sz="4" w:color="D9D9D9"/>
            </w:tcBorders>
            <w:tcMar>
              <w:top w:w="75" w:type="dxa"/>
              <w:start w:w="95" w:type="dxa"/>
              <w:bottom w:w="75" w:type="dxa"/>
              <w:end w:w="95" w:type="dxa"/>
            </w:tcMar>
          </w:tcPr>
          <w:p>
            <w:pPr>
              <w:spacing w:after="0" w:line="259" w:lineRule="auto"/>
            </w:pPr>
            <w:r>
              <w:rPr>
                <w:sz w:val="16"/>
              </w:rPr>
              <w:t>Product sounds like investment advice</w:t>
            </w:r>
          </w:p>
        </w:tc>
        <w:tc>
          <w:tcPr>
            <w:tcW w:type="dxa" w:w="6408"/>
            <w:vAlign w:val="center"/>
            <w:shd w:fill="F3F6F8"/>
            <w:tcBorders>
              <w:top w:val="single" w:sz="4" w:color="D9D9D9"/>
              <w:left w:val="single" w:sz="4" w:color="D9D9D9"/>
              <w:bottom w:val="single" w:sz="4" w:color="D9D9D9"/>
              <w:right w:val="single" w:sz="4" w:color="D9D9D9"/>
            </w:tcBorders>
            <w:tcMar>
              <w:top w:w="75" w:type="dxa"/>
              <w:start w:w="95" w:type="dxa"/>
              <w:bottom w:w="75" w:type="dxa"/>
              <w:end w:w="95" w:type="dxa"/>
            </w:tcMar>
          </w:tcPr>
          <w:p>
            <w:pPr>
              <w:spacing w:after="0" w:line="259" w:lineRule="auto"/>
            </w:pPr>
            <w:r>
              <w:rPr>
                <w:sz w:val="16"/>
              </w:rPr>
              <w:t>Remove directive phrasing, make the user originate the trade, and keep the countercase and uncertainty visible.</w:t>
            </w:r>
          </w:p>
        </w:tc>
      </w:tr>
    </w:tbl>
    <w:p>
      <w:pPr>
        <w:spacing w:after="20"/>
      </w:pPr>
    </w:p>
    <w:p>
      <w:r>
        <w:t>Stop expanding scope after 18 October. A polished one-company journey with visible evidence and a real sandbox order is stronger under this rubric than a universal broker promise with several unverified integrations.</w:t>
      </w:r>
    </w:p>
    <w:p>
      <w:pPr>
        <w:pStyle w:val="Heading1"/>
      </w:pPr>
      <w:r>
        <w:t>Research sources</w:t>
      </w:r>
    </w:p>
    <w:p>
      <w:pPr>
        <w:pStyle w:val="Small"/>
      </w:pPr>
      <w:r>
        <w:t>Sources checked on 10 October 2026. Product availability, hackathon rules and integration terms can change; verify the linked pages before final submission.</w:t>
      </w:r>
    </w:p>
    <w:p>
      <w:pPr>
        <w:pStyle w:val="Small"/>
      </w:pPr>
      <w:r>
        <w:t xml:space="preserve">[1]  </w:t>
      </w:r>
      <w:hyperlink r:id="rId9">
        <w:r>
          <w:rPr>
            <w:color w:val="1F4E79"/>
            <w:u w:val="single"/>
          </w:rPr>
          <w:t>Official hackathon rules</w:t>
        </w:r>
      </w:hyperlink>
    </w:p>
    <w:p>
      <w:pPr>
        <w:pStyle w:val="Small"/>
      </w:pPr>
      <w:r>
        <w:t xml:space="preserve">[2]  </w:t>
      </w:r>
      <w:hyperlink r:id="rId10">
        <w:r>
          <w:rPr>
            <w:color w:val="1F4E79"/>
            <w:u w:val="single"/>
          </w:rPr>
          <w:t>Hackathon FAQ</w:t>
        </w:r>
      </w:hyperlink>
    </w:p>
    <w:p>
      <w:pPr>
        <w:pStyle w:val="Small"/>
      </w:pPr>
      <w:r>
        <w:t xml:space="preserve">[3]  </w:t>
      </w:r>
      <w:hyperlink r:id="rId11">
        <w:r>
          <w:rPr>
            <w:color w:val="1F4E79"/>
            <w:u w:val="single"/>
          </w:rPr>
          <w:t>Hackathon project gallery status</w:t>
        </w:r>
      </w:hyperlink>
    </w:p>
    <w:p>
      <w:pPr>
        <w:pStyle w:val="Small"/>
      </w:pPr>
      <w:r>
        <w:t xml:space="preserve">[4]  </w:t>
      </w:r>
      <w:hyperlink r:id="rId12">
        <w:r>
          <w:rPr>
            <w:color w:val="1F4E79"/>
            <w:u w:val="single"/>
          </w:rPr>
          <w:t>SnapTrade personal MCP server</w:t>
        </w:r>
      </w:hyperlink>
    </w:p>
    <w:p>
      <w:pPr>
        <w:pStyle w:val="Small"/>
      </w:pPr>
      <w:r>
        <w:t xml:space="preserve">[5]  </w:t>
      </w:r>
      <w:hyperlink r:id="rId13">
        <w:r>
          <w:rPr>
            <w:color w:val="1F4E79"/>
            <w:u w:val="single"/>
          </w:rPr>
          <w:t>SnapTrade broker access guide</w:t>
        </w:r>
      </w:hyperlink>
    </w:p>
    <w:p>
      <w:pPr>
        <w:pStyle w:val="Small"/>
      </w:pPr>
      <w:r>
        <w:t xml:space="preserve">[6]  </w:t>
      </w:r>
      <w:hyperlink r:id="rId14">
        <w:r>
          <w:rPr>
            <w:color w:val="1F4E79"/>
            <w:u w:val="single"/>
          </w:rPr>
          <w:t>SnapTrade getting started</w:t>
        </w:r>
      </w:hyperlink>
    </w:p>
    <w:p>
      <w:pPr>
        <w:pStyle w:val="Small"/>
      </w:pPr>
      <w:r>
        <w:t xml:space="preserve">[7]  </w:t>
      </w:r>
      <w:hyperlink r:id="rId15">
        <w:r>
          <w:rPr>
            <w:color w:val="1F4E79"/>
            <w:u w:val="single"/>
          </w:rPr>
          <w:t>Upstox Agent Skills</w:t>
        </w:r>
      </w:hyperlink>
    </w:p>
    <w:p>
      <w:pPr>
        <w:pStyle w:val="Small"/>
      </w:pPr>
      <w:r>
        <w:t xml:space="preserve">[8]  </w:t>
      </w:r>
      <w:hyperlink r:id="rId16">
        <w:r>
          <w:rPr>
            <w:color w:val="1F4E79"/>
            <w:u w:val="single"/>
          </w:rPr>
          <w:t>Upstox sandbox documentation</w:t>
        </w:r>
      </w:hyperlink>
    </w:p>
    <w:p>
      <w:pPr>
        <w:pStyle w:val="Small"/>
      </w:pPr>
      <w:r>
        <w:t xml:space="preserve">[9]  </w:t>
      </w:r>
      <w:hyperlink r:id="rId17">
        <w:r>
          <w:rPr>
            <w:color w:val="1F4E79"/>
            <w:u w:val="single"/>
          </w:rPr>
          <w:t>NSE corporate announcements</w:t>
        </w:r>
      </w:hyperlink>
    </w:p>
    <w:p>
      <w:pPr>
        <w:pStyle w:val="Small"/>
      </w:pPr>
      <w:r>
        <w:t xml:space="preserve">[10]  </w:t>
      </w:r>
      <w:hyperlink r:id="rId18">
        <w:r>
          <w:rPr>
            <w:color w:val="1F4E79"/>
            <w:u w:val="single"/>
          </w:rPr>
          <w:t>Public Alpha product FAQ</w:t>
        </w:r>
      </w:hyperlink>
    </w:p>
    <w:p>
      <w:pPr>
        <w:pStyle w:val="Small"/>
      </w:pPr>
      <w:r>
        <w:t xml:space="preserve">[11]  </w:t>
      </w:r>
      <w:hyperlink r:id="rId19">
        <w:r>
          <w:rPr>
            <w:color w:val="1F4E79"/>
            <w:u w:val="single"/>
          </w:rPr>
          <w:t>Magnifi product overview</w:t>
        </w:r>
      </w:hyperlink>
    </w:p>
    <w:p>
      <w:pPr>
        <w:pStyle w:val="Small"/>
      </w:pPr>
      <w:r>
        <w:t xml:space="preserve">[12]  </w:t>
      </w:r>
      <w:hyperlink r:id="rId20">
        <w:r>
          <w:rPr>
            <w:color w:val="1F4E79"/>
            <w:u w:val="single"/>
          </w:rPr>
          <w:t>Alexa Plus add-on financial policy</w:t>
        </w:r>
      </w:hyperlink>
    </w:p>
    <w:p>
      <w:pPr>
        <w:pStyle w:val="Small"/>
      </w:pPr>
      <w:r>
        <w:t xml:space="preserve">[13]  </w:t>
      </w:r>
      <w:hyperlink r:id="rId21">
        <w:r>
          <w:rPr>
            <w:color w:val="1F4E79"/>
            <w:u w:val="single"/>
          </w:rPr>
          <w:t>SEBI investment adviser FAQ</w:t>
        </w:r>
      </w:hyperlink>
    </w:p>
    <w:p>
      <w:pPr>
        <w:pStyle w:val="Small"/>
      </w:pPr>
      <w:r>
        <w:t xml:space="preserve">[14]  </w:t>
      </w:r>
      <w:hyperlink r:id="rId22">
        <w:r>
          <w:rPr>
            <w:color w:val="1F4E79"/>
            <w:u w:val="single"/>
          </w:rPr>
          <w:t>Reddit discussion on following portfolio results</w:t>
        </w:r>
      </w:hyperlink>
    </w:p>
    <w:p>
      <w:pPr>
        <w:pStyle w:val="Small"/>
      </w:pPr>
      <w:r>
        <w:t xml:space="preserve">[15]  </w:t>
      </w:r>
      <w:hyperlink r:id="rId23">
        <w:r>
          <w:rPr>
            <w:color w:val="1F4E79"/>
            <w:u w:val="single"/>
          </w:rPr>
          <w:t>Reddit discussion on multi-platform portfolios</w:t>
        </w:r>
      </w:hyperlink>
    </w:p>
    <w:p>
      <w:pPr>
        <w:pStyle w:val="Small"/>
      </w:pPr>
      <w:r>
        <w:t xml:space="preserve">[16]  </w:t>
      </w:r>
      <w:hyperlink r:id="rId24">
        <w:r>
          <w:rPr>
            <w:color w:val="1F4E79"/>
            <w:u w:val="single"/>
          </w:rPr>
          <w:t>VoiceLedger hackathon entry</w:t>
        </w:r>
      </w:hyperlink>
    </w:p>
    <w:p>
      <w:pPr>
        <w:pStyle w:val="Small"/>
      </w:pPr>
      <w:r>
        <w:t xml:space="preserve">[17]  </w:t>
      </w:r>
      <w:hyperlink r:id="rId25">
        <w:r>
          <w:rPr>
            <w:color w:val="1F4E79"/>
            <w:u w:val="single"/>
          </w:rPr>
          <w:t>Amazon Bedrock Converse API</w:t>
        </w:r>
      </w:hyperlink>
    </w:p>
    <w:p>
      <w:pPr>
        <w:pStyle w:val="Small"/>
      </w:pPr>
      <w:r>
        <w:t xml:space="preserve">[18]  </w:t>
      </w:r>
      <w:hyperlink r:id="rId26">
        <w:r>
          <w:rPr>
            <w:color w:val="1F4E79"/>
            <w:u w:val="single"/>
          </w:rPr>
          <w:t>Upstox sandbox order walkthrough</w:t>
        </w:r>
      </w:hyperlink>
    </w:p>
    <w:p>
      <w:pPr>
        <w:pStyle w:val="Small"/>
      </w:pPr>
      <w:r>
        <w:t xml:space="preserve">[19]  </w:t>
      </w:r>
      <w:hyperlink r:id="rId27">
        <w:r>
          <w:rPr>
            <w:color w:val="1F4E79"/>
            <w:u w:val="single"/>
          </w:rPr>
          <w:t>Public Agents product FAQ</w:t>
        </w:r>
      </w:hyperlink>
    </w:p>
    <w:sectPr w:rsidR="00FC693F" w:rsidRPr="0006063C" w:rsidSect="00034616">
      <w:pgSz w:w="11909" w:h="16834"/>
      <w:pgMar w:top="1037" w:right="1152" w:bottom="1037"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Calibri" w:hAnsi="Calibri"/>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Calibri" w:hAnsi="Calibri"/>
      <w:b/>
      <w:bCs/>
      <w:color w:val="000000"/>
      <w:sz w:val="27"/>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Calibri" w:hAnsi="Calibri"/>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before="0"/>
      <w:contextualSpacing/>
    </w:pPr>
    <w:rPr>
      <w:rFonts w:asciiTheme="majorHAnsi" w:eastAsiaTheme="majorEastAsia" w:hAnsiTheme="majorHAnsi" w:cstheme="majorBidi" w:ascii="Calibri" w:hAnsi="Calibri"/>
      <w:b w:val="0"/>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eck">
    <w:name w:val="Deck"/>
    <w:pPr>
      <w:spacing w:after="260"/>
    </w:pPr>
    <w:rPr>
      <w:rFonts w:ascii="Calibri" w:hAnsi="Calibri"/>
      <w:color w:val="37414B"/>
      <w:sz w:val="21"/>
    </w:rPr>
  </w:style>
  <w:style w:type="paragraph" w:customStyle="1" w:styleId="Small">
    <w:name w:val="Small"/>
    <w:pPr>
      <w:spacing w:after="80"/>
    </w:pPr>
    <w:rPr>
      <w:rFonts w:ascii="Calibri" w:hAnsi="Calibri"/>
      <w:color w:val="37414B"/>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amazonappdev2026.devpost.com/rules" TargetMode="External"/><Relationship Id="rId10" Type="http://schemas.openxmlformats.org/officeDocument/2006/relationships/hyperlink" Target="https://amazonappdev2026.devpost.com/details/faqs" TargetMode="External"/><Relationship Id="rId11" Type="http://schemas.openxmlformats.org/officeDocument/2006/relationships/hyperlink" Target="https://amazonappdev2026.devpost.com/project-gallery" TargetMode="External"/><Relationship Id="rId12" Type="http://schemas.openxmlformats.org/officeDocument/2006/relationships/hyperlink" Target="https://docs.snaptrade.com/docs/mcp-server" TargetMode="External"/><Relationship Id="rId13" Type="http://schemas.openxmlformats.org/officeDocument/2006/relationships/hyperlink" Target="https://docs.snaptrade.com/docs/broker-access-guide" TargetMode="External"/><Relationship Id="rId14" Type="http://schemas.openxmlformats.org/officeDocument/2006/relationships/hyperlink" Target="https://docs.snaptrade.com/docs/getting-started" TargetMode="External"/><Relationship Id="rId15" Type="http://schemas.openxmlformats.org/officeDocument/2006/relationships/hyperlink" Target="https://upstox.com/developer/api-documentation/agent-skills/" TargetMode="External"/><Relationship Id="rId16" Type="http://schemas.openxmlformats.org/officeDocument/2006/relationships/hyperlink" Target="https://upstox.com/developer/api-documentation/sandbox/" TargetMode="External"/><Relationship Id="rId17" Type="http://schemas.openxmlformats.org/officeDocument/2006/relationships/hyperlink" Target="https://www.nseindia.com/companies-listing/corporate-filings-announcements" TargetMode="External"/><Relationship Id="rId18" Type="http://schemas.openxmlformats.org/officeDocument/2006/relationships/hyperlink" Target="https://help.public.com/en/articles/9354354-what-is-alpha" TargetMode="External"/><Relationship Id="rId19" Type="http://schemas.openxmlformats.org/officeDocument/2006/relationships/hyperlink" Target="https://magnifi.com/magnifi-personal" TargetMode="External"/><Relationship Id="rId20" Type="http://schemas.openxmlformats.org/officeDocument/2006/relationships/hyperlink" Target="https://developer.amazon.com/docs/alexaplus/add-ons/policy-requirements.html" TargetMode="External"/><Relationship Id="rId21" Type="http://schemas.openxmlformats.org/officeDocument/2006/relationships/hyperlink" Target="https://www.sebi.gov.in/sebi_data/faqfiles/aug-2025/1755174193178.pdf" TargetMode="External"/><Relationship Id="rId22" Type="http://schemas.openxmlformats.org/officeDocument/2006/relationships/hyperlink" Target="https://www.reddit.com/r/IndianStockMarket/comments/1hvpy8o/how_do_people_track_their_portfolio/" TargetMode="External"/><Relationship Id="rId23" Type="http://schemas.openxmlformats.org/officeDocument/2006/relationships/hyperlink" Target="https://www.reddit.com/r/IndianStockMarket/comments/1ndhc3h/any_free_appwebsite_to_track_both_stocks_mutual/" TargetMode="External"/><Relationship Id="rId24" Type="http://schemas.openxmlformats.org/officeDocument/2006/relationships/hyperlink" Target="https://devpost.com/software/voiceledger-talk-money-it-listens" TargetMode="External"/><Relationship Id="rId25" Type="http://schemas.openxmlformats.org/officeDocument/2006/relationships/hyperlink" Target="https://docs.aws.amazon.com/bedrock/latest/userguide/conversation-inference.html" TargetMode="External"/><Relationship Id="rId26" Type="http://schemas.openxmlformats.org/officeDocument/2006/relationships/hyperlink" Target="https://upstox.com/developer/api-documentation/build-using-sandbox/" TargetMode="External"/><Relationship Id="rId27" Type="http://schemas.openxmlformats.org/officeDocument/2006/relationships/hyperlink" Target="https://help.public.com/en/articles/15435640-agents-the-basi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