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28424">
      <w:pPr>
        <w:widowControl/>
        <w:shd w:val="clear" w:color="auto" w:fill="FFFFFF"/>
        <w:spacing w:before="100" w:beforeAutospacing="1" w:after="240"/>
        <w:jc w:val="center"/>
        <w:outlineLvl w:val="2"/>
        <w:rPr>
          <w:rFonts w:ascii="Segoe UI" w:hAnsi="Segoe UI" w:eastAsia="宋体" w:cs="Segoe UI"/>
          <w:b/>
          <w:bCs/>
          <w:color w:val="0F1115"/>
          <w:kern w:val="0"/>
          <w:sz w:val="27"/>
          <w:szCs w:val="27"/>
        </w:rPr>
      </w:pPr>
      <w:r>
        <w:rPr>
          <w:rFonts w:ascii="Segoe UI" w:hAnsi="Segoe UI" w:eastAsia="宋体" w:cs="Segoe UI"/>
          <w:b/>
          <w:bCs/>
          <w:color w:val="0F1115"/>
          <w:kern w:val="0"/>
          <w:sz w:val="27"/>
          <w:szCs w:val="27"/>
        </w:rPr>
        <w:t>基于TURTLE数据集的单细胞转录组聚类分析</w:t>
      </w:r>
    </w:p>
    <w:p w14:paraId="0431EB02">
      <w:pPr>
        <w:pStyle w:val="3"/>
        <w:shd w:val="clear" w:color="auto" w:fill="FFFFFF"/>
        <w:spacing w:before="240" w:after="240"/>
        <w:rPr>
          <w:rFonts w:ascii="Segoe UI" w:hAnsi="Segoe UI" w:cs="Segoe UI"/>
          <w:color w:val="0F1115"/>
        </w:rPr>
      </w:pPr>
      <w:r>
        <w:rPr>
          <w:rFonts w:ascii="Segoe UI" w:hAnsi="Segoe UI" w:cs="Segoe UI"/>
          <w:color w:val="0F1115"/>
        </w:rPr>
        <w:t>背景与意义</w:t>
      </w:r>
    </w:p>
    <w:p w14:paraId="4181AE2D">
      <w:pPr>
        <w:spacing w:line="360" w:lineRule="auto"/>
        <w:ind w:firstLine="420" w:firstLineChars="200"/>
      </w:pPr>
      <w:r>
        <w:rPr>
          <w:rFonts w:hint="eastAsia"/>
        </w:rPr>
        <w:t>单细胞转录组测序技术能够在单个细胞水平上解析基因表达模式，为理解细胞异质性、发育轨迹及疾病机制提供了前所未有的视角。细胞聚类是单细胞数据分析的核心步骤之一，其目标是将具有相似表达模式的细胞归为同一群体，从而识别潜在的细胞类型或状态。聚类分析不仅有助于发现新的细胞亚群，还能为后续的细胞注释、差异表达分析和功能研究奠定基础。</w:t>
      </w:r>
    </w:p>
    <w:p w14:paraId="47246607">
      <w:pPr>
        <w:pStyle w:val="3"/>
        <w:shd w:val="clear" w:color="auto" w:fill="FFFFFF"/>
        <w:spacing w:before="240" w:after="240"/>
        <w:rPr>
          <w:rFonts w:ascii="Segoe UI" w:hAnsi="Segoe UI" w:cs="Segoe UI"/>
          <w:color w:val="0F1115"/>
        </w:rPr>
      </w:pPr>
      <w:r>
        <w:rPr>
          <w:rFonts w:ascii="Segoe UI" w:hAnsi="Segoe UI" w:cs="Segoe UI"/>
          <w:color w:val="0F1115"/>
        </w:rPr>
        <w:t>数据集介绍</w:t>
      </w:r>
    </w:p>
    <w:p w14:paraId="40B5ACA6">
      <w:pPr>
        <w:spacing w:line="360" w:lineRule="auto"/>
        <w:ind w:firstLine="420" w:firstLineChars="200"/>
        <w:rPr>
          <w:rFonts w:hint="eastAsia"/>
        </w:rPr>
      </w:pPr>
      <w:r>
        <w:rPr>
          <w:rFonts w:hint="eastAsia"/>
          <w:lang w:val="en-US" w:eastAsia="zh-CN"/>
        </w:rPr>
        <w:t>1.</w:t>
      </w:r>
      <w:r>
        <w:rPr>
          <w:rFonts w:hint="eastAsia"/>
        </w:rPr>
        <w:t>QS_Lung数据集</w:t>
      </w:r>
    </w:p>
    <w:p w14:paraId="0125CC94">
      <w:pPr>
        <w:spacing w:line="360" w:lineRule="auto"/>
        <w:ind w:firstLine="420" w:firstLineChars="200"/>
        <w:rPr>
          <w:rFonts w:hint="eastAsia"/>
        </w:rPr>
      </w:pPr>
      <w:r>
        <w:rPr>
          <w:rFonts w:hint="eastAsia"/>
        </w:rPr>
        <w:t>本数据集源自Tabula Muris项目（Schaum等人，2018），该研究对小鼠肺器官进行了单细胞转录组测序，采用高覆盖度的Smart-seq2技术平台。该数据集收录了1，676个细胞的基因表达数据，涵盖了23，341个基因。原始研究通过聚类分析与已知标记基因的验证，为这些细胞提供了11种生物学注释的细胞类型，包括多种B细胞、髓系细胞、基质细胞等。</w:t>
      </w:r>
    </w:p>
    <w:p w14:paraId="08ACB5DC">
      <w:pPr>
        <w:spacing w:line="360" w:lineRule="auto"/>
        <w:ind w:firstLine="420" w:firstLineChars="200"/>
        <w:rPr>
          <w:rFonts w:hint="eastAsia"/>
        </w:rPr>
      </w:pPr>
      <w:r>
        <w:rPr>
          <w:rFonts w:hint="eastAsia"/>
          <w:lang w:val="en-US" w:eastAsia="zh-CN"/>
        </w:rPr>
        <w:t>2.</w:t>
      </w:r>
      <w:r>
        <w:rPr>
          <w:rFonts w:hint="eastAsia"/>
        </w:rPr>
        <w:t>QS_Diaphragm数据集</w:t>
      </w:r>
    </w:p>
    <w:p w14:paraId="7479ACF5">
      <w:pPr>
        <w:spacing w:line="360" w:lineRule="auto"/>
        <w:ind w:firstLine="420" w:firstLineChars="200"/>
        <w:rPr>
          <w:rFonts w:hint="eastAsia"/>
        </w:rPr>
      </w:pPr>
      <w:r>
        <w:rPr>
          <w:rFonts w:hint="eastAsia"/>
        </w:rPr>
        <w:t>本数据集同样来源于Tabula Muris项目（Schaum等人，2018），聚焦于小鼠膈肌的单细胞转录组分析，使用Smart-seq2平台进行测序。该数据集包含870个细胞的基因表达数据，覆盖23，341个基因。原始作者通过聚类与差异表达分析，结合经典细胞标记基因，为这些细胞定义了5种生物学细胞类型。</w:t>
      </w:r>
    </w:p>
    <w:p w14:paraId="2F05CB5A">
      <w:pPr>
        <w:spacing w:line="360" w:lineRule="auto"/>
        <w:ind w:firstLine="420" w:firstLineChars="200"/>
        <w:rPr>
          <w:rFonts w:hint="eastAsia"/>
        </w:rPr>
      </w:pPr>
      <w:r>
        <w:rPr>
          <w:rFonts w:hint="eastAsia"/>
        </w:rPr>
        <w:t>ref. Schaum,N. et al. (2018) Single-cell transcriptomics of 20 mouse organs creates a Tabula Muris: the Tabula Muris Consortium. Nature, 562, 367.</w:t>
      </w:r>
    </w:p>
    <w:p w14:paraId="146C4501">
      <w:pPr>
        <w:spacing w:line="360" w:lineRule="auto"/>
        <w:ind w:firstLine="420" w:firstLineChars="200"/>
        <w:rPr>
          <w:rFonts w:hint="eastAsia"/>
        </w:rPr>
      </w:pPr>
      <w:r>
        <w:rPr>
          <w:rFonts w:hint="eastAsia"/>
          <w:lang w:val="en-US" w:eastAsia="zh-CN"/>
        </w:rPr>
        <w:t>3.</w:t>
      </w:r>
      <w:r>
        <w:t>TURTLE数据集（</w:t>
      </w:r>
      <w:r>
        <w:fldChar w:fldCharType="begin"/>
      </w:r>
      <w:r>
        <w:instrText xml:space="preserve">HYPERLINK "https://www.science.org/doi/abs/10.1126/science.aar4237"</w:instrText>
      </w:r>
      <w:r>
        <w:fldChar w:fldCharType="separate"/>
      </w:r>
      <w:r>
        <w:rPr>
          <w:rStyle w:val="7"/>
        </w:rPr>
        <w:t>Tosches等人，2018</w:t>
      </w:r>
      <w:r>
        <w:fldChar w:fldCharType="end"/>
      </w:r>
      <w:r>
        <w:t>）</w:t>
      </w:r>
    </w:p>
    <w:p w14:paraId="2447A3A5">
      <w:pPr>
        <w:spacing w:line="360" w:lineRule="auto"/>
        <w:ind w:firstLine="420" w:firstLineChars="0"/>
      </w:pPr>
      <w:r>
        <w:t>该数据集收录了海龟背部皮层18,664个细胞的基因表达数据，涵盖了23,500个基因。数据集已由原始作者提供了15种细胞类型的生物学注释，可作为聚类结果的参考标准。数据以Scanpy的AnnData对象格式存储，其中raw_data.X为基因表达矩阵，其输出形式为稀疏矩阵。例如，输出中的(0, 5)  4.0表示第一个细胞（索引0）在第六个基因（索引5，因索引从0开始）上的表达值为4.0。这种稀疏存储方式是由于单细胞数据中绝大多数基因在单个细胞内均未检测到表达（即零值），从而有效节省内存。标签数据lable为每个细胞对应的已知细胞类型，例如“Exc1”“Exc4”“OPC</w:t>
      </w:r>
      <w:bookmarkStart w:id="0" w:name="_GoBack"/>
      <w:bookmarkEnd w:id="0"/>
      <w:r>
        <w:t>”等，这些标签来源于作者基于生物学知识的注释，将作为评估聚类效果的基准。</w:t>
      </w:r>
    </w:p>
    <w:p w14:paraId="5C9A52DB">
      <w:pPr>
        <w:spacing w:line="360" w:lineRule="auto"/>
      </w:pPr>
      <w:r>
        <w:rPr>
          <w:rFonts w:hint="eastAsia"/>
        </w:rPr>
        <w:t>数据读取示例代码：</w:t>
      </w:r>
    </w:p>
    <w:p w14:paraId="41CC1E80">
      <w:pPr>
        <w:pStyle w:val="4"/>
        <w:shd w:val="clear" w:color="auto" w:fill="2B2B2B"/>
        <w:rPr>
          <w:rFonts w:ascii="Courier New" w:hAnsi="Courier New" w:cs="Courier New"/>
          <w:color w:val="A9B7C6"/>
          <w:sz w:val="20"/>
          <w:szCs w:val="20"/>
        </w:rPr>
      </w:pPr>
      <w:r>
        <w:rPr>
          <w:rFonts w:ascii="Courier New" w:hAnsi="Courier New" w:cs="Courier New"/>
          <w:color w:val="CC7832"/>
          <w:sz w:val="20"/>
          <w:szCs w:val="20"/>
        </w:rPr>
        <w:t xml:space="preserve">import </w:t>
      </w:r>
      <w:r>
        <w:rPr>
          <w:rFonts w:ascii="Courier New" w:hAnsi="Courier New" w:cs="Courier New"/>
          <w:color w:val="A9B7C6"/>
          <w:sz w:val="20"/>
          <w:szCs w:val="20"/>
        </w:rPr>
        <w:t xml:space="preserve">scanpy </w:t>
      </w:r>
      <w:r>
        <w:rPr>
          <w:rFonts w:ascii="Courier New" w:hAnsi="Courier New" w:cs="Courier New"/>
          <w:color w:val="CC7832"/>
          <w:sz w:val="20"/>
          <w:szCs w:val="20"/>
        </w:rPr>
        <w:t xml:space="preserve">as </w:t>
      </w:r>
      <w:r>
        <w:rPr>
          <w:rFonts w:ascii="Courier New" w:hAnsi="Courier New" w:cs="Courier New"/>
          <w:color w:val="A9B7C6"/>
          <w:sz w:val="20"/>
          <w:szCs w:val="20"/>
        </w:rPr>
        <w:t>sc</w:t>
      </w:r>
      <w:r>
        <w:rPr>
          <w:rFonts w:ascii="Courier New" w:hAnsi="Courier New" w:cs="Courier New"/>
          <w:color w:val="A9B7C6"/>
          <w:sz w:val="20"/>
          <w:szCs w:val="20"/>
        </w:rPr>
        <w:br w:type="textWrapping"/>
      </w:r>
      <w:r>
        <w:rPr>
          <w:rFonts w:ascii="Courier New" w:hAnsi="Courier New" w:cs="Courier New"/>
          <w:color w:val="CC7832"/>
          <w:sz w:val="20"/>
          <w:szCs w:val="20"/>
        </w:rPr>
        <w:t xml:space="preserve">import </w:t>
      </w:r>
      <w:r>
        <w:rPr>
          <w:rFonts w:ascii="Courier New" w:hAnsi="Courier New" w:cs="Courier New"/>
          <w:color w:val="A9B7C6"/>
          <w:sz w:val="20"/>
          <w:szCs w:val="20"/>
        </w:rPr>
        <w:t xml:space="preserve">numpy </w:t>
      </w:r>
      <w:r>
        <w:rPr>
          <w:rFonts w:ascii="Courier New" w:hAnsi="Courier New" w:cs="Courier New"/>
          <w:color w:val="CC7832"/>
          <w:sz w:val="20"/>
          <w:szCs w:val="20"/>
        </w:rPr>
        <w:t xml:space="preserve">as </w:t>
      </w:r>
      <w:r>
        <w:rPr>
          <w:rFonts w:ascii="Courier New" w:hAnsi="Courier New" w:cs="Courier New"/>
          <w:color w:val="A9B7C6"/>
          <w:sz w:val="20"/>
          <w:szCs w:val="20"/>
        </w:rPr>
        <w:t>np</w:t>
      </w:r>
    </w:p>
    <w:p w14:paraId="6A8ED1B4">
      <w:pPr>
        <w:pStyle w:val="4"/>
        <w:shd w:val="clear" w:color="auto" w:fill="2B2B2B"/>
        <w:rPr>
          <w:rFonts w:ascii="Courier New" w:hAnsi="Courier New" w:cs="Courier New"/>
          <w:color w:val="A9B7C6"/>
          <w:sz w:val="20"/>
          <w:szCs w:val="20"/>
        </w:rPr>
      </w:pPr>
      <w:r>
        <w:rPr>
          <w:rFonts w:ascii="Courier New" w:hAnsi="Courier New" w:cs="Courier New"/>
          <w:color w:val="CC7832"/>
          <w:sz w:val="20"/>
          <w:szCs w:val="20"/>
        </w:rPr>
        <w:t xml:space="preserve">if </w:t>
      </w:r>
      <w:r>
        <w:rPr>
          <w:rFonts w:ascii="Courier New" w:hAnsi="Courier New" w:cs="Courier New"/>
          <w:color w:val="A9B7C6"/>
          <w:sz w:val="20"/>
          <w:szCs w:val="20"/>
        </w:rPr>
        <w:t xml:space="preserve">__name__ == </w:t>
      </w:r>
      <w:r>
        <w:rPr>
          <w:rFonts w:ascii="Courier New" w:hAnsi="Courier New" w:cs="Courier New"/>
          <w:color w:val="6A8759"/>
          <w:sz w:val="20"/>
          <w:szCs w:val="20"/>
        </w:rPr>
        <w:t>'__main__'</w:t>
      </w:r>
      <w:r>
        <w:rPr>
          <w:rFonts w:ascii="Courier New" w:hAnsi="Courier New" w:cs="Courier New"/>
          <w:color w:val="A9B7C6"/>
          <w:sz w:val="20"/>
          <w:szCs w:val="20"/>
        </w:rPr>
        <w:t>:</w:t>
      </w:r>
      <w:r>
        <w:rPr>
          <w:rFonts w:hint="eastAsia" w:cs="Courier New"/>
          <w:color w:val="808080"/>
          <w:sz w:val="20"/>
          <w:szCs w:val="20"/>
        </w:rPr>
        <w:br w:type="textWrapping"/>
      </w:r>
      <w:r>
        <w:rPr>
          <w:rFonts w:hint="eastAsia" w:cs="Courier New"/>
          <w:color w:val="808080"/>
          <w:sz w:val="20"/>
          <w:szCs w:val="20"/>
        </w:rPr>
        <w:t xml:space="preserve">    </w:t>
      </w:r>
      <w:r>
        <w:rPr>
          <w:rFonts w:ascii="Courier New" w:hAnsi="Courier New" w:cs="Courier New"/>
          <w:color w:val="A9B7C6"/>
          <w:sz w:val="20"/>
          <w:szCs w:val="20"/>
        </w:rPr>
        <w:t>raw_data = sc.read(</w:t>
      </w:r>
      <w:r>
        <w:rPr>
          <w:rFonts w:ascii="Courier New" w:hAnsi="Courier New" w:cs="Courier New"/>
          <w:color w:val="6A8759"/>
          <w:sz w:val="20"/>
          <w:szCs w:val="20"/>
        </w:rPr>
        <w:t>'Tosches_turtle.h5ad'</w:t>
      </w:r>
      <w:r>
        <w:rPr>
          <w:rFonts w:ascii="Courier New" w:hAnsi="Courier New" w:cs="Courier New"/>
          <w:color w:val="CC7832"/>
          <w:sz w:val="20"/>
          <w:szCs w:val="20"/>
        </w:rPr>
        <w:t xml:space="preserve">, </w:t>
      </w:r>
      <w:r>
        <w:rPr>
          <w:rFonts w:ascii="Courier New" w:hAnsi="Courier New" w:cs="Courier New"/>
          <w:color w:val="AA4926"/>
          <w:sz w:val="20"/>
          <w:szCs w:val="20"/>
        </w:rPr>
        <w:t>index_col</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ype="textWrapping"/>
      </w:r>
      <w:r>
        <w:rPr>
          <w:rFonts w:ascii="Courier New" w:hAnsi="Courier New" w:cs="Courier New"/>
          <w:color w:val="A9B7C6"/>
          <w:sz w:val="20"/>
          <w:szCs w:val="20"/>
        </w:rPr>
        <w:t xml:space="preserve">    processed_data = np.nan_to_num(raw_data.X</w:t>
      </w:r>
      <w:r>
        <w:rPr>
          <w:rFonts w:ascii="Courier New" w:hAnsi="Courier New" w:cs="Courier New"/>
          <w:color w:val="CC7832"/>
          <w:sz w:val="20"/>
          <w:szCs w:val="20"/>
        </w:rPr>
        <w:t xml:space="preserve">, </w:t>
      </w:r>
      <w:r>
        <w:rPr>
          <w:rFonts w:ascii="Courier New" w:hAnsi="Courier New" w:cs="Courier New"/>
          <w:color w:val="AA4926"/>
          <w:sz w:val="20"/>
          <w:szCs w:val="20"/>
        </w:rPr>
        <w:t>nan</w:t>
      </w:r>
      <w:r>
        <w:rPr>
          <w:rFonts w:ascii="Courier New" w:hAnsi="Courier New" w:cs="Courier New"/>
          <w:color w:val="A9B7C6"/>
          <w:sz w:val="20"/>
          <w:szCs w:val="20"/>
        </w:rPr>
        <w:t>=</w:t>
      </w:r>
      <w:r>
        <w:rPr>
          <w:rFonts w:ascii="Courier New" w:hAnsi="Courier New" w:cs="Courier New"/>
          <w:color w:val="6897BB"/>
          <w:sz w:val="20"/>
          <w:szCs w:val="20"/>
        </w:rPr>
        <w:t>0</w:t>
      </w:r>
      <w:r>
        <w:rPr>
          <w:rFonts w:ascii="Courier New" w:hAnsi="Courier New" w:cs="Courier New"/>
          <w:color w:val="A9B7C6"/>
          <w:sz w:val="20"/>
          <w:szCs w:val="20"/>
        </w:rPr>
        <w:t>)</w:t>
      </w:r>
      <w:r>
        <w:rPr>
          <w:rFonts w:ascii="Courier New" w:hAnsi="Courier New" w:cs="Courier New"/>
          <w:color w:val="A9B7C6"/>
          <w:sz w:val="20"/>
          <w:szCs w:val="20"/>
        </w:rPr>
        <w:br w:type="textWrapping"/>
      </w:r>
      <w:r>
        <w:rPr>
          <w:rFonts w:ascii="Courier New" w:hAnsi="Courier New" w:cs="Courier New"/>
          <w:color w:val="A9B7C6"/>
          <w:sz w:val="20"/>
          <w:szCs w:val="20"/>
        </w:rPr>
        <w:t xml:space="preserve">    raw_data.X = processed_data</w:t>
      </w:r>
    </w:p>
    <w:p w14:paraId="33FFB37B">
      <w:pPr>
        <w:pStyle w:val="4"/>
        <w:shd w:val="clear" w:color="auto" w:fill="2B2B2B"/>
        <w:ind w:firstLine="400" w:firstLineChars="200"/>
        <w:rPr>
          <w:rFonts w:ascii="Courier New" w:hAnsi="Courier New" w:cs="Courier New"/>
          <w:color w:val="8888C6"/>
          <w:sz w:val="20"/>
          <w:szCs w:val="20"/>
        </w:rPr>
      </w:pPr>
      <w:r>
        <w:rPr>
          <w:rFonts w:ascii="Courier New" w:hAnsi="Courier New" w:cs="Courier New"/>
          <w:color w:val="A9B7C6"/>
          <w:sz w:val="20"/>
          <w:szCs w:val="20"/>
        </w:rPr>
        <w:t>lable = raw_data.obs[</w:t>
      </w:r>
      <w:r>
        <w:rPr>
          <w:rFonts w:ascii="Courier New" w:hAnsi="Courier New" w:cs="Courier New"/>
          <w:color w:val="6A8759"/>
          <w:sz w:val="20"/>
          <w:szCs w:val="20"/>
        </w:rPr>
        <w:t>'celltype'</w:t>
      </w:r>
      <w:r>
        <w:rPr>
          <w:rFonts w:ascii="Courier New" w:hAnsi="Courier New" w:cs="Courier New"/>
          <w:color w:val="A9B7C6"/>
          <w:sz w:val="20"/>
          <w:szCs w:val="20"/>
        </w:rPr>
        <w:t>]</w:t>
      </w:r>
    </w:p>
    <w:p w14:paraId="7B3F5CC4">
      <w:pPr>
        <w:pStyle w:val="3"/>
        <w:shd w:val="clear" w:color="auto" w:fill="FFFFFF"/>
        <w:spacing w:before="240" w:after="240"/>
        <w:rPr>
          <w:rFonts w:ascii="Segoe UI" w:hAnsi="Segoe UI" w:cs="Segoe UI"/>
          <w:color w:val="0F1115"/>
        </w:rPr>
      </w:pPr>
      <w:r>
        <w:rPr>
          <w:rFonts w:ascii="Segoe UI" w:hAnsi="Segoe UI" w:cs="Segoe UI"/>
          <w:color w:val="0F1115"/>
        </w:rPr>
        <w:t>任务要求</w:t>
      </w:r>
    </w:p>
    <w:p w14:paraId="4D4B914E">
      <w:pPr>
        <w:spacing w:line="360" w:lineRule="auto"/>
        <w:ind w:firstLine="420" w:firstLineChars="200"/>
      </w:pPr>
      <w:r>
        <w:t>请基于TURTLE数据集，</w:t>
      </w:r>
      <w:r>
        <w:rPr>
          <w:rFonts w:hint="eastAsia"/>
        </w:rPr>
        <w:t>使用Python编程语言，</w:t>
      </w:r>
      <w:r>
        <w:t>完成单细胞转录组数据的聚类分析。你需要对数据进行预处理（如</w:t>
      </w:r>
      <w:r>
        <w:rPr>
          <w:rFonts w:hint="eastAsia"/>
        </w:rPr>
        <w:t>低质量数据过滤、高变异基因选择、归一化</w:t>
      </w:r>
      <w:r>
        <w:t>等），随后</w:t>
      </w:r>
      <w:r>
        <w:rPr>
          <w:rFonts w:hint="eastAsia"/>
        </w:rPr>
        <w:t>设计</w:t>
      </w:r>
      <w:r>
        <w:t>一种聚类</w:t>
      </w:r>
      <w:r>
        <w:rPr>
          <w:rFonts w:hint="eastAsia"/>
        </w:rPr>
        <w:t>方法</w:t>
      </w:r>
      <w:r>
        <w:t>对细胞进行分组，并利用已知的细胞类型标签评估聚类效果</w:t>
      </w:r>
      <w:r>
        <w:rPr>
          <w:rFonts w:hint="eastAsia"/>
        </w:rPr>
        <w:t>（评估指标为：N</w:t>
      </w:r>
      <w:r>
        <w:t>MI</w:t>
      </w:r>
      <w:r>
        <w:rPr>
          <w:rFonts w:hint="eastAsia"/>
        </w:rPr>
        <w:t>、</w:t>
      </w:r>
      <w:r>
        <w:t>ARI</w:t>
      </w:r>
      <w:r>
        <w:rPr>
          <w:rFonts w:hint="eastAsia"/>
        </w:rPr>
        <w:t>及A</w:t>
      </w:r>
      <w:r>
        <w:t>CC</w:t>
      </w:r>
      <w:r>
        <w:rPr>
          <w:rFonts w:hint="eastAsia"/>
        </w:rPr>
        <w:t>）</w:t>
      </w:r>
      <w:r>
        <w:t>。最终需提交一份简要报告，包括方法描述、结果分析与可视化。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E7C"/>
    <w:rsid w:val="0001570F"/>
    <w:rsid w:val="000209BD"/>
    <w:rsid w:val="000504B6"/>
    <w:rsid w:val="000F6558"/>
    <w:rsid w:val="001502B3"/>
    <w:rsid w:val="0021293D"/>
    <w:rsid w:val="00361FBC"/>
    <w:rsid w:val="00377487"/>
    <w:rsid w:val="004236DA"/>
    <w:rsid w:val="006D55BD"/>
    <w:rsid w:val="006E2E7C"/>
    <w:rsid w:val="007068B4"/>
    <w:rsid w:val="008C7A48"/>
    <w:rsid w:val="00951060"/>
    <w:rsid w:val="009A5FAF"/>
    <w:rsid w:val="00A60770"/>
    <w:rsid w:val="00A7562C"/>
    <w:rsid w:val="00AB2297"/>
    <w:rsid w:val="00B84BA0"/>
    <w:rsid w:val="00E4487D"/>
    <w:rsid w:val="00FF758A"/>
    <w:rsid w:val="06223E20"/>
    <w:rsid w:val="0B173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link w:val="10"/>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3">
    <w:name w:val="heading 4"/>
    <w:basedOn w:val="1"/>
    <w:next w:val="1"/>
    <w:link w:val="1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HTML Preformatted"/>
    <w:basedOn w:val="1"/>
    <w:link w:val="9"/>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styleId="7">
    <w:name w:val="Hyperlink"/>
    <w:basedOn w:val="6"/>
    <w:unhideWhenUsed/>
    <w:uiPriority w:val="99"/>
    <w:rPr>
      <w:color w:val="0563C1" w:themeColor="hyperlink"/>
      <w:u w:val="single"/>
      <w14:textFill>
        <w14:solidFill>
          <w14:schemeClr w14:val="hlink"/>
        </w14:solidFill>
      </w14:textFill>
    </w:rPr>
  </w:style>
  <w:style w:type="character" w:styleId="8">
    <w:name w:val="HTML Code"/>
    <w:basedOn w:val="6"/>
    <w:semiHidden/>
    <w:unhideWhenUsed/>
    <w:uiPriority w:val="99"/>
    <w:rPr>
      <w:rFonts w:ascii="宋体" w:hAnsi="宋体" w:eastAsia="宋体" w:cs="宋体"/>
      <w:sz w:val="24"/>
      <w:szCs w:val="24"/>
    </w:rPr>
  </w:style>
  <w:style w:type="character" w:customStyle="1" w:styleId="9">
    <w:name w:val="HTML 预设格式 字符"/>
    <w:basedOn w:val="6"/>
    <w:link w:val="4"/>
    <w:semiHidden/>
    <w:uiPriority w:val="99"/>
    <w:rPr>
      <w:rFonts w:ascii="宋体" w:hAnsi="宋体" w:eastAsia="宋体" w:cs="宋体"/>
      <w:kern w:val="0"/>
      <w:sz w:val="24"/>
      <w:szCs w:val="24"/>
    </w:rPr>
  </w:style>
  <w:style w:type="character" w:customStyle="1" w:styleId="10">
    <w:name w:val="标题 3 字符"/>
    <w:basedOn w:val="6"/>
    <w:link w:val="2"/>
    <w:uiPriority w:val="9"/>
    <w:rPr>
      <w:rFonts w:ascii="宋体" w:hAnsi="宋体" w:eastAsia="宋体" w:cs="宋体"/>
      <w:b/>
      <w:bCs/>
      <w:kern w:val="0"/>
      <w:sz w:val="27"/>
      <w:szCs w:val="27"/>
    </w:rPr>
  </w:style>
  <w:style w:type="character" w:customStyle="1" w:styleId="11">
    <w:name w:val="标题 4 字符"/>
    <w:basedOn w:val="6"/>
    <w:link w:val="3"/>
    <w:semiHidden/>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661</Words>
  <Characters>926</Characters>
  <Lines>7</Lines>
  <Paragraphs>2</Paragraphs>
  <TotalTime>2</TotalTime>
  <ScaleCrop>false</ScaleCrop>
  <LinksUpToDate>false</LinksUpToDate>
  <CharactersWithSpaces>960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2025-12-16T03:26:00Z</dcterms:created>
  <dc:creator>JYH</dc:creator>
  <cp:lastModifiedBy>萝卜要加酱丶</cp:lastModifiedBy>
  <dcterms:modified xsi:type="dcterms:W3CDTF">2025-12-19T05:24:13Z</dcterms:modified>
  <cp:revision>920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CB78BF2B0A4A468EB259035552F7D166_13</vt:lpwstr>
  </property>
  <property fmtid="{D5CDD505-2E9C-101B-9397-08002B2CF9AE}" pid="4" name="KSOTemplateDocerSaveRecord">
    <vt:lpwstr>eyJoZGlkIjoiNGRlOGZkZmJmZTE5NjExMzc2M2EwM2U5ZmFjZDhkOTgiLCJ1c2VySWQiOiI0OTM2MTMzOTgifQ==</vt:lpwstr>
  </property>
</Properties>
</file>