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6E6E73"/>
          <w:spacing w:val="30"/>
          <w:sz w:val="18"/>
          <w:szCs w:val="18"/>
        </w:rPr>
        <w:t xml:space="preserve">PRD · PRODUCT REQUIREMENTS DOCUMENT</w:t>
      </w:r>
    </w:p>
    <w:p>
      <w:pPr>
        <w:spacing w:after="60"/>
      </w:pPr>
      <w:r>
        <w:rPr>
          <w:b/>
          <w:bCs/>
          <w:color w:val="030A8B"/>
          <w:sz w:val="46"/>
          <w:szCs w:val="46"/>
        </w:rPr>
        <w:t xml:space="preserve">Otimização da Landing Page Kontiva</w:t>
      </w:r>
    </w:p>
    <w:p>
      <w:pPr>
        <w:spacing w:after="200"/>
      </w:pPr>
      <w:r>
        <w:rPr>
          <w:color w:val="1D1D1F"/>
          <w:sz w:val="24"/>
          <w:szCs w:val="24"/>
        </w:rPr>
        <w:t xml:space="preserve">Revisão de estrutura, prova social, urgência com imprensa e design system</w:t>
      </w:r>
    </w:p>
    <w:tbl>
      <w:tblPr>
        <w:tblW w:type="pct" w:w="100%"/>
        <w:tblBorders>
          <w:top w:val="single" w:color="ECECEF" w:sz="2"/>
          <w:left w:val="single" w:color="ECECEF" w:sz="2"/>
          <w:bottom w:val="single" w:color="ECECEF" w:sz="2"/>
          <w:right w:val="single" w:color="ECECEF" w:sz="2"/>
          <w:insideH w:val="single" w:color="ECECEF" w:sz="2"/>
          <w:insideV w:val="single" w:color="ECECE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30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shd w:fill="030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Produto</w:t>
            </w:r>
          </w:p>
        </w:tc>
        <w:tc>
          <w:tcPr>
            <w:tcW w:type="dxa" w:w="63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Kontiva — Hub de agentes de IA para escritórios contábeis (BlueMetrics)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Alvo da alteração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qg30eelz5aiqniez5gcx">
              <w:r>
                <w:rPr>
                  <w:rStyle w:val="Hyperlink"/>
                  <w:color w:val="0C27E8"/>
                  <w:sz w:val="20"/>
                  <w:szCs w:val="20"/>
                  <w:u w:val="single"/>
                </w:rPr>
                <w:t xml:space="preserve">https://kontiva-lp-s.vercel.app/</w:t>
              </w:r>
            </w:hyperlink>
          </w:p>
        </w:tc>
      </w:tr>
      <w:tr>
        <w:tc>
          <w:tcPr>
            <w:tcW w:type="dxa" w:w="30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Destino canônico</w:t>
            </w:r>
          </w:p>
        </w:tc>
        <w:tc>
          <w:tcPr>
            <w:tcW w:type="dxa" w:w="63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lp.kontiva.ai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Executor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0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Autor</w:t>
            </w:r>
          </w:p>
        </w:tc>
        <w:tc>
          <w:tcPr>
            <w:tcW w:type="dxa" w:w="63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Diego Rodrigues · Growth, BlueMetrics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Anexos deste PRD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Logos de integração em PNG (Domínio, Alterdata, Questor) + prints de notícias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0. Contexto e objetivo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A landing page do Kontiva já converte a proposta central (agente de IA que opera a reforma tributária, não só simula). Esta rodada de alterações tem três objetivos: (1) limpar a primeira dobra e transformar as integrações em prova social visual, (2) dar peso factual à urgência usando notícias reais de grandes portais, e (3) fechar o discurso com o ângulo de negócio — como o escritório usa isso para reter a base e ganhar contas novas — além de polir segundo agente, rodapé e consistência do design system.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Regra de ouro para toda a implementação: </w:t>
      </w:r>
      <w:r>
        <w:rPr>
          <w:b/>
          <w:bCs/>
          <w:color w:val="1D1D1F"/>
          <w:sz w:val="21"/>
          <w:szCs w:val="21"/>
        </w:rPr>
        <w:t xml:space="preserve">não alterar a copy existente que não for citada aqui, não inventar números, não incluir logos de ERPs como se fossem endosso comercial. </w:t>
      </w:r>
      <w:r>
        <w:rPr>
          <w:color w:val="1D1D1F"/>
          <w:sz w:val="21"/>
          <w:szCs w:val="21"/>
        </w:rPr>
        <w:t xml:space="preserve">Os ERPs são sistemas que o Kontiva </w:t>
      </w:r>
      <w:r>
        <w:rPr>
          <w:i/>
          <w:iCs/>
          <w:color w:val="1D1D1F"/>
          <w:sz w:val="21"/>
          <w:szCs w:val="21"/>
        </w:rPr>
        <w:t xml:space="preserve">lê</w:t>
      </w:r>
      <w:r>
        <w:rPr>
          <w:color w:val="1D1D1F"/>
          <w:sz w:val="21"/>
          <w:szCs w:val="21"/>
        </w:rPr>
        <w:t xml:space="preserve">, não parceiros que o patrocinam. A moldura de qualquer faixa de integração deve deixar isso explícito.</w:t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1. Design system (tokens oficiais — usar em tudo)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Estes são os tokens reais da marca BlueMetrics/Kontiva. Se a LP hoje usa qualquer valor diferente para o accent (ex.: verde do WhatsApp, azul antigo), substituir pelos valores abaixo. </w:t>
      </w:r>
      <w:r>
        <w:rPr>
          <w:b/>
          <w:bCs/>
          <w:color w:val="1D1D1F"/>
          <w:sz w:val="21"/>
          <w:szCs w:val="21"/>
        </w:rPr>
        <w:t xml:space="preserve">Não usar a paleta antiga (#0A1628 / #2563EB / Inter).</w:t>
      </w:r>
    </w:p>
    <w:p>
      <w:pPr>
        <w:spacing w:after="40"/>
      </w:pPr>
    </w:p>
    <w:tbl>
      <w:tblPr>
        <w:tblW w:type="pct" w:w="100%"/>
        <w:tblBorders>
          <w:top w:val="single" w:color="ECECEF" w:sz="2"/>
          <w:left w:val="single" w:color="ECECEF" w:sz="2"/>
          <w:bottom w:val="single" w:color="ECECEF" w:sz="2"/>
          <w:right w:val="single" w:color="ECECEF" w:sz="2"/>
          <w:insideH w:val="single" w:color="ECECEF" w:sz="2"/>
          <w:insideV w:val="single" w:color="ECECE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30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760"/>
            <w:shd w:fill="030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e uso</w:t>
            </w:r>
          </w:p>
        </w:tc>
      </w:tr>
      <w:tr>
        <w:tc>
          <w:tcPr>
            <w:tcW w:type="dxa" w:w="26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bm-blue (accent)</w:t>
            </w:r>
          </w:p>
        </w:tc>
        <w:tc>
          <w:tcPr>
            <w:tcW w:type="dxa" w:w="67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#0C27E8 — CTAs, links, estados ON, ícones de destaque. Uso ~10% da superfície.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bm-deep-blue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#030A8B — heros e overlays escuros, ênfase forte.</w:t>
            </w:r>
          </w:p>
        </w:tc>
      </w:tr>
      <w:tr>
        <w:tc>
          <w:tcPr>
            <w:tcW w:type="dxa" w:w="26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bm-black</w:t>
            </w:r>
          </w:p>
        </w:tc>
        <w:tc>
          <w:tcPr>
            <w:tcW w:type="dxa" w:w="67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#162132 — near-black de apoio (raro).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Superfícies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#FFFFFF página · #FBFBFD off-white de seção · #F5F5F7 cinza de card.</w:t>
            </w:r>
          </w:p>
        </w:tc>
      </w:tr>
      <w:tr>
        <w:tc>
          <w:tcPr>
            <w:tcW w:type="dxa" w:w="26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Linhas</w:t>
            </w:r>
          </w:p>
        </w:tc>
        <w:tc>
          <w:tcPr>
            <w:tcW w:type="dxa" w:w="67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#ECECEF hairline · #D2D2D7 borda forte.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Texto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#1D1D1F primário · #6E6E73 secundário · #424245 terciário.</w:t>
            </w:r>
          </w:p>
        </w:tc>
      </w:tr>
      <w:tr>
        <w:tc>
          <w:tcPr>
            <w:tcW w:type="dxa" w:w="26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Link / hover</w:t>
            </w:r>
          </w:p>
        </w:tc>
        <w:tc>
          <w:tcPr>
            <w:tcW w:type="dxa" w:w="67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#0C27E8 · hover #0A1FC4 · accent-soft #EEF1FE (tint do azul).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Outfit (títulos) + Wix Madefor (corpo). Eyebrow: 12px, 600, UPPERCASE, letter-spacing 0.08em, cor #6E6E73.</w:t>
            </w:r>
          </w:p>
        </w:tc>
      </w:tr>
      <w:tr>
        <w:tc>
          <w:tcPr>
            <w:tcW w:type="dxa" w:w="26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Wordmark</w:t>
            </w:r>
          </w:p>
        </w:tc>
        <w:tc>
          <w:tcPr>
            <w:tcW w:type="dxa" w:w="67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sempre minúsculo quando for texto: “kontiva” / “bluemetrics”.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EF1FE" w:sz="2"/>
          <w:left w:val="single" w:color="0C27E8" w:sz="24"/>
          <w:bottom w:val="single" w:color="EEF1FE" w:sz="2"/>
          <w:right w:val="single" w:color="EEF1F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1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C27E8"/>
                <w:sz w:val="20"/>
                <w:szCs w:val="20"/>
              </w:rPr>
              <w:t xml:space="preserve">Instrução para o Claude Code</w:t>
            </w:r>
          </w:p>
          <w:p>
            <w:pPr>
              <w:spacing w:after="0"/>
            </w:pPr>
            <w:r>
              <w:rPr>
                <w:color w:val="1D1D1F"/>
                <w:sz w:val="20"/>
                <w:szCs w:val="20"/>
              </w:rPr>
              <w:t xml:space="preserve">Centralizar esses valores como CSS variables / theme tokens caso ainda não estejam. Qualquer cor hardcoded fora desta paleta na LP atual deve ser migrada para o token correspondente. Aplicar o accent com parcimônia (~10%), mantendo o restante em branco/off-white e texto ink.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2. Alteração 1 — Faixa de integração com logos (e limpeza do hero)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PROBLEMA ATUAL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No hero, a linha “Lê Domínio, Alterdata, Questor e planilhas” aparece como texto solto competindo com o CTA principal. E a faixa “Engenharia de IA de verdade” hoje mistura duas coisas distintas: credenciais da BlueMetrics (10+ anos, 200+ projetos, AWS Advanced Partner) e os ERPs lidos.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Remover do hero</w:t>
      </w:r>
      <w:r>
        <w:rPr>
          <w:color w:val="1D1D1F"/>
          <w:sz w:val="21"/>
          <w:szCs w:val="21"/>
        </w:rPr>
        <w:t xml:space="preserve"> a linha de texto “Lê Domínio, Alterdata, Questor e planilhas”. Manter no hero apenas o H1, o subtítulo, o CTA e as duas microcopies de confiança (“Sem custo e sem compromisso…” e “Você aprova antes de qualquer coisa sair”).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Criar uma faixa de logos de integração</w:t>
      </w:r>
      <w:r>
        <w:rPr>
          <w:color w:val="1D1D1F"/>
          <w:sz w:val="21"/>
          <w:szCs w:val="21"/>
        </w:rPr>
        <w:t xml:space="preserve"> logo abaixo do hero (padrão “logo bar” de prova social), com os PNGs anexados a este PRD: Domínio, Alterdata, Questor. Planilhas pode entrar como ícone/《ilustração ou rótulo de texto se não houver logo.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Moldura da faixa (eyebrow + título curto acima dos logos):</w:t>
      </w:r>
    </w:p>
    <w:tbl>
      <w:tblPr>
        <w:tblW w:type="pct" w:w="100%"/>
        <w:tblBorders>
          <w:top w:val="single" w:color="F5F5F7" w:sz="2"/>
          <w:left w:val="single" w:color="0C27E8" w:sz="24"/>
          <w:bottom w:val="single" w:color="F5F5F7" w:sz="2"/>
          <w:right w:val="single" w:color="F5F5F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Eyebrow: 
            <w:r>
              <w:rPr>
                <w:b/>
                <w:bCs/>
                <w:color w:val="6E6E73"/>
                <w:sz w:val="20"/>
                <w:szCs w:val="20"/>
              </w:rPr>
              <w:t xml:space="preserve">INTEGRAÇÃO NATIVA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color w:val="1D1D1F"/>
                <w:sz w:val="20"/>
                <w:szCs w:val="20"/>
              </w:rPr>
              <w:t xml:space="preserve">Roda sobre os sistemas que você já usa.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Apoio (menor): </w:t>
            </w:r>
            <w:r>
              <w:rPr>
                <w:color w:val="6E6E73"/>
                <w:sz w:val="20"/>
                <w:szCs w:val="20"/>
              </w:rPr>
              <w:t xml:space="preserve">O Kontiva lê os seus dados onde eles já estão. Você não troca de ERP nem migra nada.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Separar as credenciais BlueMetrics da faixa de ERPs.</w:t>
      </w:r>
      <w:r>
        <w:rPr>
          <w:color w:val="1D1D1F"/>
          <w:sz w:val="21"/>
          <w:szCs w:val="21"/>
        </w:rPr>
        <w:t xml:space="preserve"> Manter “Engenharia de IA de verdade, não script com LLM” como bloco de autoridade próprio, exibindo: 10+ anos de IA aplicada · 200+ projetos entregues · AWS Advanced Partner · Aprovação humana em tudo que executa. 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  <w:color w:val="1D1D1F"/>
          <w:sz w:val="21"/>
          <w:szCs w:val="21"/>
        </w:rPr>
        <w:t xml:space="preserve">Se houver logos de AWS e Anthropic/Claude Partner Network disponíveis, podem compor esse bloco de autoridade</w:t>
      </w:r>
      <w:r>
        <w:rPr>
          <w:color w:val="1D1D1F"/>
          <w:sz w:val="21"/>
          <w:szCs w:val="21"/>
        </w:rPr>
        <w:t xml:space="preserve"> (opcional, só se os PNGs forem fornecidos e o uso de marca estiver liberado).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ESPECIFICAÇÃO VISUAL DOS LOGOS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Logos em escala de cinza / monocromático (#6E6E73) por padrão, para não competir com o accent. Opcional: cor no hover.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Altura uniforme (normalizar por altura óptica, não por bounding box). Espaçamento generoso entre eles.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Grid responsivo: 3–4 por linha no desktop, 2 por linha no mobile, centralizados.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Alt text descritivo em cada logo (ex.: “Logotipo Domínio Sistemas”) para acessibilidade e SEO.</w:t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3. Alteração 2 — Cor do botão WhatsApp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PROBLEMA ATUAL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O botão flutuante / CTA de WhatsApp usa o verde padrão da marca WhatsApp (provavelmente #25D366), que destoa do design system da LP.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Trocar o fundo do botão de WhatsApp para o accent do design system: </w:t>
      </w:r>
      <w:r>
        <w:rPr>
          <w:b/>
          <w:bCs/>
          <w:color w:val="0C27E8"/>
          <w:sz w:val="21"/>
          <w:szCs w:val="21"/>
        </w:rPr>
        <w:t xml:space="preserve">#0C27E8</w:t>
      </w:r>
      <w:r>
        <w:rPr>
          <w:color w:val="1D1D1F"/>
          <w:sz w:val="21"/>
          <w:szCs w:val="21"/>
        </w:rPr>
        <w:t xml:space="preserve"> (bm-blue). Hover: #0A1FC4.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Manter o ícone do WhatsApp (glifo branco) para reconhecimento imediato do canal — só muda a cor de fundo, não o ícone.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Aplicar a todos os pontos onde o verde aparece: botão flutuante fixo, CTA “Falar no WhatsApp” do rodapé e o fallback do formulário (“chame a gente no WhatsApp”).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Garantir contraste AA do ícone branco sobre o azul (já atende).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4. Alteração 3 — Seção “A urgência” com notícias reais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PROBLEMA ATUAL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A seção “A urgência” entrega os três fatos (split payment, crédito condicionado ao fornecedor, a janela) só em texto. Falta a prova externa que transforma “nós dizemos” em “a imprensa está dizendo”.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O QUE FAZER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Manter os três cards de fato/consequência/caminho já existentes </w:t>
      </w:r>
      <w:r>
        <w:rPr>
          <w:b/>
          <w:bCs/>
          <w:color w:val="1D1D1F"/>
          <w:sz w:val="21"/>
          <w:szCs w:val="21"/>
        </w:rPr>
        <w:t xml:space="preserve">e adicionar</w:t>
      </w:r>
      <w:r>
        <w:rPr>
          <w:color w:val="1D1D1F"/>
          <w:sz w:val="21"/>
          <w:szCs w:val="21"/>
        </w:rPr>
        <w:t xml:space="preserve">, dentro da mesma seção, uma faixa de “clippings”: cards com print de manchetes reais de grandes portais. Cada card = imagem do print (fornecida por você) + fonte + link. Objetivo: peso factual, não alarmismo vazio.</w:t>
      </w:r>
    </w:p>
    <w:p>
      <w:pPr>
        <w:spacing w:after="40"/>
      </w:pPr>
    </w:p>
    <w:p>
      <w:pPr>
        <w:pStyle w:val="Heading3"/>
        <w:spacing w:after="90" w:before="200"/>
      </w:pPr>
      <w:r>
        <w:rPr>
          <w:b/>
          <w:bCs/>
          <w:color w:val="0C27E8"/>
          <w:sz w:val="23"/>
          <w:szCs w:val="23"/>
        </w:rPr>
        <w:t xml:space="preserve">4.1 Notícias sugeridas (fontes reais para os prints)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Abaixo, as manchetes já verificadas para você tirar os prints. Priorizei veículos de peso e dados que casam com a narrativa do Kontiva (despreparo do setor, split payment no caixa, empresas sem plano).</w:t>
      </w:r>
    </w:p>
    <w:p>
      <w:pPr>
        <w:pStyle w:val="Heading3"/>
        <w:spacing w:after="90" w:before="200"/>
      </w:pPr>
      <w:r>
        <w:rPr>
          <w:b/>
          <w:bCs/>
          <w:color w:val="0C27E8"/>
          <w:sz w:val="23"/>
          <w:szCs w:val="23"/>
        </w:rPr>
        <w:t xml:space="preserve">Bloco A — Setor contábil sem plano (casa com o hero)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CartaCapital / Omie — “Contadores já sentem impacto da reforma tributária, mas maioria ainda não tem plano” (56% sem plano, 68% já procurados por clientes, só 5% com estratégia estruturada). </w:t>
      </w:r>
      <w:hyperlink w:history="1" r:id="rIdumeggcl00kyls9qf-6kkf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Contábeis — “Reforma tributária já impacta escritórios, mas 56% dos contadores ainda não têm plano”. </w:t>
      </w:r>
      <w:hyperlink w:history="1" r:id="rIdyuy2cblpuu1q9k1w7pvd0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FENACON — “Contadores já sentem impacto da reforma tributária, mas maioria ainda não tem plano” (respaldo institucional). </w:t>
      </w:r>
      <w:hyperlink w:history="1" r:id="rIdbocqmiszxppdphtgqjwup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Heading3"/>
        <w:spacing w:after="90" w:before="200"/>
      </w:pPr>
      <w:r>
        <w:rPr>
          <w:b/>
          <w:bCs/>
          <w:color w:val="0C27E8"/>
          <w:sz w:val="23"/>
          <w:szCs w:val="23"/>
        </w:rPr>
        <w:t xml:space="preserve">Bloco B — Empresas despreparadas (a dor do cliente do escritório)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InfoMoney — “Reforma Tributária: mais de 60% das empresas ainda não mediram o impacto nos negócios”. </w:t>
      </w:r>
      <w:hyperlink w:history="1" r:id="rId8d4arkyd4lu5yscub1qe-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Exame — “Reforma tributária: apenas 9,5% das empresas se dizem prontas para mudanças”. </w:t>
      </w:r>
      <w:hyperlink w:history="1" r:id="rIde3i8dwjfswmonkm9laroo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Agência Brasil — “Pesquisa mostra que empresas não se adaptaram para reforma tributária” (32,7% nem começaram — é o número que já está na LP). </w:t>
      </w:r>
      <w:hyperlink w:history="1" r:id="rIdue4qmg8kbgg0bxfejukyp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Heading3"/>
        <w:spacing w:after="90" w:before="200"/>
      </w:pPr>
      <w:r>
        <w:rPr>
          <w:b/>
          <w:bCs/>
          <w:color w:val="0C27E8"/>
          <w:sz w:val="23"/>
          <w:szCs w:val="23"/>
        </w:rPr>
        <w:t xml:space="preserve">Bloco C — Split payment no caixa (casa com o passo 04)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IBPT — “Split payment: o que muda no caixa das empresas com a nova sistemática de cobrança de tributos”. </w:t>
      </w:r>
      <w:hyperlink w:history="1" r:id="rIdheeaivpyadsqfrgppgyms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Contábeis — “Reforma tributária: Split payment muda fluxo de caixa”. </w:t>
      </w:r>
      <w:hyperlink w:history="1" r:id="rIdsxmhys_0ieggp_qzyzfii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Contábeis — “Só 1% das empresas diz ter TI pronta para Reforma Tributária” (reforço tecnológico). </w:t>
      </w:r>
      <w:hyperlink w:history="1" r:id="rIdrfatvfkj6z5mcugzn3q9c">
        <w:r>
          <w:rPr>
            <w:rStyle w:val="Hyperlink"/>
            <w:color w:val="0C27E8"/>
            <w:sz w:val="20"/>
            <w:szCs w:val="20"/>
            <w:u w:val="single"/>
          </w:rPr>
          <w:t xml:space="preserve">Link</w:t>
        </w:r>
      </w:hyperlink>
    </w:p>
    <w:p>
      <w:pPr>
        <w:spacing w:after="40"/>
      </w:pPr>
    </w:p>
    <w:tbl>
      <w:tblPr>
        <w:tblW w:type="pct" w:w="100%"/>
        <w:tblBorders>
          <w:top w:val="single" w:color="EEF1FE" w:sz="2"/>
          <w:left w:val="single" w:color="030A8B" w:sz="24"/>
          <w:bottom w:val="single" w:color="EEF1FE" w:sz="2"/>
          <w:right w:val="single" w:color="EEF1F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1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30A8B"/>
                <w:sz w:val="20"/>
                <w:szCs w:val="20"/>
              </w:rPr>
              <w:t xml:space="preserve">Recomendação de curadoria</w:t>
            </w:r>
          </w:p>
          <w:p>
            <w:pPr>
              <w:spacing w:after="0"/>
            </w:pPr>
            <w:r>
              <w:rPr>
                <w:color w:val="1D1D1F"/>
                <w:sz w:val="20"/>
                <w:szCs w:val="20"/>
              </w:rPr>
              <w:t xml:space="preserve">Use de 3 a 4 clippings, não todos — um de cada bloco já entrega o argumento sem transformar a seção num mural. Sugestão de trio: CartaCapital/Omie (setor sem plano) + InfoMoney ou Exame (empresas despreparadas) + IBPT ou Contábeis (split no caixa).</w:t>
            </w:r>
          </w:p>
        </w:tc>
      </w:tr>
    </w:tbl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ESPECIFICAÇÃO DOS CARDS DE CLIPPING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Cada card: print (imagem que você anexa) no topo, com moldura sutil (borda #ECECEF, cantos arredondados, leve sombra) simulando recorte de notícia.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Abaixo do print: nome do veículo em negrito + data + link “Ler no site” apontando para a URL real. </w:t>
      </w:r>
      <w:r>
        <w:rPr>
          <w:b/>
          <w:bCs/>
          <w:color w:val="1D1D1F"/>
          <w:sz w:val="21"/>
          <w:szCs w:val="21"/>
        </w:rPr>
        <w:t xml:space="preserve">Não reescrever a manchete — o print já a mostra.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Rótulo/eyebrow da faixa: “NÃO SOMOS SÓ NÓS DIZENDO” ou “O QUE A IMPRENSA ESTÁ DIZENDO”.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Layout: carrossel horizontal no mobile, grid de 3 no desktop. Imagens otimizadas (WebP), lazy-load, alt text com a manchete.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Cuidado jurídico/uso de marca: prints são citação de manchete com link para a fonte (uso jornalístico). Manter sempre o link e o crédito do veículo visível.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5. Alteração 4 — Nova seção “Vire o jogo” (a solução de negócio)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OBJETIVO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Logo após a urgência (o “terrorista” factual), entra a virada: como o escritório transforma esse cenário em vantagem. Dois eixos, um card cada.</w:t>
      </w:r>
    </w:p>
    <w:p>
      <w:pPr>
        <w:spacing w:after="40"/>
      </w:pPr>
    </w:p>
    <w:p>
      <w:pPr>
        <w:pStyle w:val="Heading3"/>
        <w:spacing w:after="90" w:before="200"/>
      </w:pPr>
      <w:r>
        <w:rPr>
          <w:b/>
          <w:bCs/>
          <w:color w:val="0C27E8"/>
          <w:sz w:val="23"/>
          <w:szCs w:val="23"/>
        </w:rPr>
        <w:t xml:space="preserve">Eixo 1 — Retenção: entregue mais para a base que você já tem</w:t>
      </w:r>
    </w:p>
    <w:tbl>
      <w:tblPr>
        <w:tblW w:type="pct" w:w="100%"/>
        <w:tblBorders>
          <w:top w:val="single" w:color="F5F5F7" w:sz="2"/>
          <w:left w:val="single" w:color="0C27E8" w:sz="24"/>
          <w:bottom w:val="single" w:color="F5F5F7" w:sz="2"/>
          <w:right w:val="single" w:color="F5F5F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C27E8"/>
                <w:sz w:val="20"/>
                <w:szCs w:val="20"/>
              </w:rPr>
              <w:t xml:space="preserve">Card “Retenção”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Eyebrow: </w:t>
            </w:r>
            <w:r>
              <w:rPr>
                <w:color w:val="6E6E73"/>
                <w:sz w:val="20"/>
                <w:szCs w:val="20"/>
              </w:rPr>
              <w:t xml:space="preserve">SUA BASE ATUAL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color w:val="1D1D1F"/>
                <w:sz w:val="20"/>
                <w:szCs w:val="20"/>
              </w:rPr>
              <w:t xml:space="preserve">O cliente que sente a reforma primeiro é o que vai embora primeiro.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Corpo: </w:t>
            </w:r>
            <w:r>
              <w:rPr>
                <w:color w:val="1D1D1F"/>
                <w:sz w:val="20"/>
                <w:szCs w:val="20"/>
              </w:rPr>
              <w:t xml:space="preserve">Quem avisa o cliente antes do split apertar o caixa dele vira conselheiro, não fornecedor de guia. O Kontiva te dá o relatório de aviso pronto, cliente a cliente, para você chegar antes do problema. Entrega de mais qualidade é o que segura a carteira quando todo escritório estiver correndo atrás.</w:t>
            </w:r>
          </w:p>
        </w:tc>
      </w:tr>
    </w:tbl>
    <w:p>
      <w:pPr>
        <w:spacing w:after="60"/>
      </w:pPr>
    </w:p>
    <w:p>
      <w:pPr>
        <w:pStyle w:val="Heading3"/>
        <w:spacing w:after="90" w:before="200"/>
      </w:pPr>
      <w:r>
        <w:rPr>
          <w:b/>
          <w:bCs/>
          <w:color w:val="0C27E8"/>
          <w:sz w:val="23"/>
          <w:szCs w:val="23"/>
        </w:rPr>
        <w:t xml:space="preserve">Eixo 2 — Aquisição: um diferencial na mesa comercial</w:t>
      </w:r>
    </w:p>
    <w:tbl>
      <w:tblPr>
        <w:tblW w:type="pct" w:w="100%"/>
        <w:tblBorders>
          <w:top w:val="single" w:color="F5F5F7" w:sz="2"/>
          <w:left w:val="single" w:color="030A8B" w:sz="24"/>
          <w:bottom w:val="single" w:color="F5F5F7" w:sz="2"/>
          <w:right w:val="single" w:color="F5F5F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30A8B"/>
                <w:sz w:val="20"/>
                <w:szCs w:val="20"/>
              </w:rPr>
              <w:t xml:space="preserve">Card “Aquisição”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Eyebrow: </w:t>
            </w:r>
            <w:r>
              <w:rPr>
                <w:color w:val="6E6E73"/>
                <w:sz w:val="20"/>
                <w:szCs w:val="20"/>
              </w:rPr>
              <w:t xml:space="preserve">CONTAS NOVAS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color w:val="1D1D1F"/>
                <w:sz w:val="20"/>
                <w:szCs w:val="20"/>
              </w:rPr>
              <w:t xml:space="preserve">Chegue na reunião com o número, não com a promessa.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Corpo: </w:t>
            </w:r>
            <w:r>
              <w:rPr>
                <w:color w:val="1D1D1F"/>
                <w:sz w:val="20"/>
                <w:szCs w:val="20"/>
              </w:rPr>
              <w:t xml:space="preserve">Enquanto o concorrente diz “vamos acompanhar a reforma”, você mostra a simulação da carteira do prospect ranqueada por impacto e a projeção de caixa em reais. Operar a reforma vira argumento de venda: o escritório que chega com plano ganha a conta de quem só tem medo.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FECHAMENTO DA SEÇÃO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Frase-ponte abaixo dos dois cards: </w:t>
      </w:r>
      <w:r>
        <w:rPr>
          <w:i/>
          <w:iCs/>
          <w:color w:val="030A8B"/>
          <w:sz w:val="21"/>
          <w:szCs w:val="21"/>
        </w:rPr>
        <w:t xml:space="preserve">“A reforma tira o sono de quem não tem plano. Para quem tem, ela é a maior oportunidade de crescimento da década.”</w:t>
      </w:r>
      <w:r>
        <w:rPr>
          <w:color w:val="1D1D1F"/>
          <w:sz w:val="21"/>
          <w:szCs w:val="21"/>
        </w:rPr>
        <w:t xml:space="preserve"> Seguida do CTA padrão “Agende a demo com os dados do seu escritório”.</w:t>
      </w:r>
    </w:p>
    <w:tbl>
      <w:tblPr>
        <w:tblW w:type="pct" w:w="100%"/>
        <w:tblBorders>
          <w:top w:val="single" w:color="F5F5F7" w:sz="2"/>
          <w:left w:val="single" w:color="6E6E73" w:sz="24"/>
          <w:bottom w:val="single" w:color="F5F5F7" w:sz="2"/>
          <w:right w:val="single" w:color="F5F5F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E6E73"/>
                <w:sz w:val="20"/>
                <w:szCs w:val="20"/>
              </w:rPr>
              <w:t xml:space="preserve">Nota de arquitetura</w:t>
            </w:r>
          </w:p>
          <w:p>
            <w:pPr>
              <w:spacing w:after="0"/>
            </w:pPr>
            <w:r>
              <w:rPr>
                <w:color w:val="1D1D1F"/>
                <w:sz w:val="20"/>
                <w:szCs w:val="20"/>
              </w:rPr>
              <w:t xml:space="preserve">Não criar uma terceira seção separada só para “terrorista”. A urgência (seção 4) já carrega o peso factual com os clippings; esta seção 5 é a resposta. Duas seções, não três — a LP já é longa e o par medo→solução funciona melhor coeso.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6. Alteração 5 — Segundo agente (Honorários) mais visual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PROBLEMA ATUAL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A seção “E tem um segundo agente que costuma se pagar sozinho” é um paredão de texto com só um mockup ao lado. O argumento é forte (o agente acha dinheiro esquecido), mas se perde na leitura corrida.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O QUE FAZER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Manter o mockup da tela “Valores a cobrar”, mas quebrar o texto em blocos visuais: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Três cards “O que ele encontra”</w:t>
      </w:r>
      <w:r>
        <w:rPr>
          <w:color w:val="1D1D1F"/>
          <w:sz w:val="21"/>
          <w:szCs w:val="21"/>
        </w:rPr>
        <w:t xml:space="preserve"> (o gancho mais forte da copy), cada um com ícone + título curto + uma linha:</w:t>
      </w:r>
    </w:p>
    <w:tbl>
      <w:tblPr>
        <w:tblW w:type="pct" w:w="100%"/>
        <w:tblBorders>
          <w:top w:val="single" w:color="F5F5F7" w:sz="2"/>
          <w:left w:val="single" w:color="0C27E8" w:sz="24"/>
          <w:bottom w:val="single" w:color="F5F5F7" w:sz="2"/>
          <w:right w:val="single" w:color="F5F5F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0C27E8"/>
                <w:sz w:val="20"/>
                <w:szCs w:val="20"/>
              </w:rPr>
              <w:t xml:space="preserve">1. Reajuste esquecido — </w:t>
            </w:r>
            <w:r>
              <w:rPr>
                <w:color w:val="1D1D1F"/>
                <w:sz w:val="20"/>
                <w:szCs w:val="20"/>
              </w:rPr>
              <w:t xml:space="preserve">o índice do contrato que ninguém aplicou.</w:t>
            </w:r>
          </w:p>
          <w:p>
            <w:pPr>
              <w:spacing w:after="50"/>
            </w:pPr>
            <w:r>
              <w:rPr>
                <w:b/>
                <w:bCs/>
                <w:color w:val="0C27E8"/>
                <w:sz w:val="20"/>
                <w:szCs w:val="20"/>
              </w:rPr>
              <w:t xml:space="preserve">2. Funcionário a mais na folha — </w:t>
            </w:r>
            <w:r>
              <w:rPr>
                <w:color w:val="1D1D1F"/>
                <w:sz w:val="20"/>
                <w:szCs w:val="20"/>
              </w:rPr>
              <w:t xml:space="preserve">volume que cresceu e a cobrança não acompanhou.</w:t>
            </w:r>
          </w:p>
          <w:p>
            <w:pPr>
              <w:spacing w:after="0"/>
            </w:pPr>
            <w:r>
              <w:rPr>
                <w:b/>
                <w:bCs/>
                <w:color w:val="0C27E8"/>
                <w:sz w:val="20"/>
                <w:szCs w:val="20"/>
              </w:rPr>
              <w:t xml:space="preserve">3. Serviço avulso não faturado — </w:t>
            </w:r>
            <w:r>
              <w:rPr>
                <w:color w:val="1D1D1F"/>
                <w:sz w:val="20"/>
                <w:szCs w:val="20"/>
              </w:rPr>
              <w:t xml:space="preserve">o extra que foi entregue e nunca virou cobrança.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Um mini-fluxo horizontal “Como funciona”</w:t>
      </w:r>
      <w:r>
        <w:rPr>
          <w:color w:val="1D1D1F"/>
          <w:sz w:val="21"/>
          <w:szCs w:val="21"/>
        </w:rPr>
        <w:t xml:space="preserve"> em 4 passos com setas entre eles (mesma linguagem visual dos passos do agente tributário):</w:t>
      </w:r>
    </w:p>
    <w:tbl>
      <w:tblPr>
        <w:tblW w:type="pct" w:w="100%"/>
        <w:tblBorders>
          <w:top w:val="single" w:color="EEF1FE" w:sz="2"/>
          <w:left w:val="single" w:color="030A8B" w:sz="24"/>
          <w:bottom w:val="single" w:color="EEF1FE" w:sz="2"/>
          <w:right w:val="single" w:color="EEF1F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1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color w:val="1D1D1F"/>
                <w:sz w:val="20"/>
                <w:szCs w:val="20"/>
              </w:rPr>
              <w:t xml:space="preserve">Consolida o mês  →  Cruza contrato × volume de serviço  →  Calcula excedente e reajuste  →  Explica cada cobrança (limite, valor observado, fórmula)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Preservar o selo de controle: </w:t>
      </w:r>
      <w:r>
        <w:rPr>
          <w:color w:val="1D1D1F"/>
          <w:sz w:val="21"/>
          <w:szCs w:val="21"/>
        </w:rPr>
        <w:t xml:space="preserve">“A emissão só acontece pela interface, depois da sua revisão. Você aprova antes de qualquer coisa sair.” — como faixa de destaque, reforçando o pilar de aprovação humana.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D1D1F"/>
          <w:sz w:val="21"/>
          <w:szCs w:val="21"/>
        </w:rPr>
        <w:t xml:space="preserve">Manter a frase de amarração dos dois agentes: </w:t>
      </w:r>
      <w:r>
        <w:rPr>
          <w:color w:val="1D1D1F"/>
          <w:sz w:val="21"/>
          <w:szCs w:val="21"/>
        </w:rPr>
        <w:t xml:space="preserve">“O tributário puxa a fila, o de honorários paga a conta.”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Ícones no estilo line/outline, cor #0C27E8, consistentes com o resto da LP. Cards com fundo #F5F5F7 e hairline #ECECEF.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7. Alteração 6 — Rodapé completo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PROBLEMA ATUAL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O rodapé só traz WhatsApp, e-mail e links legais. Falta presença de redes sociais e estrutura de navegação.</w:t>
      </w:r>
    </w:p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O QUE FAZER — ESTRUTURA EM COLUNAS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Rodapé escuro (bm-deep-blue #030A8B ou near-black) com wordmark “kontiva” e a tagline, organizado em colunas:</w:t>
      </w:r>
    </w:p>
    <w:tbl>
      <w:tblPr>
        <w:tblW w:type="pct" w:w="100%"/>
        <w:tblBorders>
          <w:top w:val="single" w:color="ECECEF" w:sz="2"/>
          <w:left w:val="single" w:color="ECECEF" w:sz="2"/>
          <w:bottom w:val="single" w:color="ECECEF" w:sz="2"/>
          <w:right w:val="single" w:color="ECECEF" w:sz="2"/>
          <w:insideH w:val="single" w:color="ECECEF" w:sz="2"/>
          <w:insideV w:val="single" w:color="ECECEF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30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6960"/>
            <w:shd w:fill="030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Marca</w:t>
            </w:r>
          </w:p>
        </w:tc>
        <w:tc>
          <w:tcPr>
            <w:tcW w:type="dxa" w:w="69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Wordmark “kontiva” + tagline “O Hub de agentes de IA que opera os processos críticos do escritório contábil.”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Navegação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Âncoras para as seções: A urgência · O que o agente faz · Segundo agente · Por que confiar · FAQ · Agendar demo.</w:t>
            </w:r>
          </w:p>
        </w:tc>
      </w:tr>
      <w:tr>
        <w:tc>
          <w:tcPr>
            <w:tcW w:type="dxa" w:w="24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Contato</w:t>
            </w:r>
          </w:p>
        </w:tc>
        <w:tc>
          <w:tcPr>
            <w:tcW w:type="dxa" w:w="69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E-mail contato@kontiva.ai · botão WhatsApp (já no accent azul).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Redes sociais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Ícones com link: Instagram, LinkedIn, WhatsApp. Ver URLs abaixo.</w:t>
            </w:r>
          </w:p>
        </w:tc>
      </w:tr>
      <w:tr>
        <w:tc>
          <w:tcPr>
            <w:tcW w:type="dxa" w:w="240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Legal</w:t>
            </w:r>
          </w:p>
        </w:tc>
        <w:tc>
          <w:tcPr>
            <w:tcW w:type="dxa" w:w="6960"/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D1D1F"/>
                <w:sz w:val="18"/>
                <w:szCs w:val="18"/>
              </w:rPr>
              <w:t xml:space="preserve">Política de Privacidade · Termos de Uso · “Kontiva é uma empresa BlueMetrics. © 2026 Kontiva.”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EF1FE" w:sz="2"/>
          <w:left w:val="single" w:color="0C27E8" w:sz="24"/>
          <w:bottom w:val="single" w:color="EEF1FE" w:sz="2"/>
          <w:right w:val="single" w:color="EEF1F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1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C27E8"/>
                <w:sz w:val="20"/>
                <w:szCs w:val="20"/>
              </w:rPr>
              <w:t xml:space="preserve">Ação necessária de você (Diego)</w:t>
            </w:r>
          </w:p>
          <w:p>
            <w:pPr>
              <w:spacing w:after="50"/>
            </w:pPr>
            <w:r>
              <w:rPr>
                <w:color w:val="1D1D1F"/>
                <w:sz w:val="20"/>
                <w:szCs w:val="20"/>
              </w:rPr>
              <w:t xml:space="preserve">Confirmar as URLs reais de Instagram e LinkedIn do Kontiva/BlueMetrics antes do Claude Code implementar. Placeholders a substituir: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· Instagram: </w:t>
            </w:r>
            <w:r>
              <w:rPr>
                <w:color w:val="6E6E73"/>
                <w:sz w:val="20"/>
                <w:szCs w:val="20"/>
              </w:rPr>
              <w:t xml:space="preserve">instagram.com/kontiva.ai  (confirmar)</w:t>
            </w:r>
          </w:p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· LinkedIn: </w:t>
            </w:r>
            <w:r>
              <w:rPr>
                <w:color w:val="6E6E73"/>
                <w:sz w:val="20"/>
                <w:szCs w:val="20"/>
              </w:rPr>
              <w:t xml:space="preserve">linkedin.com/company/kontiva  (confirmar; ou usar o da BlueMetrics)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· WhatsApp: </w:t>
            </w:r>
            <w:r>
              <w:rPr>
                <w:color w:val="6E6E73"/>
                <w:sz w:val="20"/>
                <w:szCs w:val="20"/>
              </w:rPr>
              <w:t xml:space="preserve">trocar o número placeholder 5511999999999 pelo número real de atendimento.</w:t>
            </w:r>
          </w:p>
        </w:tc>
      </w:tr>
    </w:tbl>
    <w:p>
      <w:pPr>
        <w:spacing w:after="40" w:before="200"/>
      </w:pPr>
      <w:r>
        <w:rPr>
          <w:b/>
          <w:bCs/>
          <w:color w:val="6E6E73"/>
          <w:spacing w:val="20"/>
          <w:sz w:val="16"/>
          <w:szCs w:val="16"/>
        </w:rPr>
        <w:t xml:space="preserve">ESPECIFICAÇÃO VISUAL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Ícones sociais monocromáticos (branco/#F5F5F7) sobre o fundo escuro, com hover no accent ou aumento sutil.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Todos os ícones sociais com aria-label (“Kontiva no Instagram” etc.) e target=_blank + rel=noopener.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Selo “uma empresa BlueMetrics” com link para bluemetrics.ai. Se houver logo BlueMetrics em PNG, usar; senão, wordmark textual.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Responsivo: colunas viram acordeão/empilhado no mobile, ícones sociais centralizados.</w:t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8. Alteração 7 — Consistência do design system e logos nas seções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Varredura final para o Claude Code aplicar em toda a LP: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Auditar toda cor hardcoded e migrar para os tokens da seção 1. Nenhum verde de WhatsApp, nenhum azul fora de #0C27E8 / #030A8B.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Padronizar eyebrows (12px, 600, uppercase, tracking 0.08em, cor #6E6E73) em todas as seções — hoje há variação.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Cards: fundo #F5F5F7, hairline #ECECEF, raio de canto e sombra consistentes entre urgência, agentes, “vire o jogo” e “por que confiar”.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Logos de ERPs: usar a mesma versão monocromática na faixa de integração (seção 2) e onde mais aparecerem (ex.: passo “Roda sobre os sistemas que você já usa”), sem duplicar arquivos — referenciar os mesmos assets.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Selos de autoridade (AWS, Anthropic/Claude Partner Network) só se os PNGs forem fornecidos e o uso de marca estiver liberado; caso contrário, manter como texto.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1D1D1F"/>
          <w:sz w:val="21"/>
          <w:szCs w:val="21"/>
        </w:rPr>
        <w:t xml:space="preserve">Acessibilidade: alt text em todo logo e print, contraste AA, foco visível nos CTAs e ícones.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30A8B"/>
          <w:sz w:val="30"/>
          <w:szCs w:val="30"/>
        </w:rPr>
        <w:t xml:space="preserve">9. Checklist de aceite</w:t>
      </w:r>
    </w:p>
    <w:p>
      <w:pPr>
        <w:spacing w:after="120" w:line="276"/>
      </w:pPr>
      <w:r>
        <w:rPr>
          <w:color w:val="1D1D1F"/>
          <w:sz w:val="21"/>
          <w:szCs w:val="21"/>
        </w:rPr>
        <w:t xml:space="preserve">A entrega está pronta quando: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Hero sem a linha de ERPs em texto; primeira dobra limpa com H1 + subtítulo + CTA + 2 microcopies.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Faixa de integração com logos (Domínio, Alterdata, Questor) monocromáticos, com moldura “Roda sobre os sistemas que você já usa”.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Credenciais BlueMetrics separadas dos ERPs, como bloco de autoridade próprio.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Botão WhatsApp em #0C27E8 (todos os pontos), ícone branco preservado.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Seção “A urgência” com 3–4 cards de clipping (print + veículo + data + link real).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Nova seção “Vire o jogo” com os dois cards (Retenção e Aquisição) + frase-ponte + CTA.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Segundo agente com 3 cards “o que ele encontra” + mini-fluxo de 4 passos + selo de aprovação humana.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Rodapé em colunas com Instagram, LinkedIn e WhatsApp (URLs reais), navegação, contato e legal.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Todos os tokens do design system aplicados; nenhuma cor fora da paleta.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Acessibilidade: alt text, aria-labels, contraste AA, lazy-load nas imagens.</w:t>
      </w:r>
    </w:p>
    <w:p>
      <w:pPr>
        <w:spacing w:after="70"/>
      </w:pPr>
      <w:r>
        <w:rPr>
          <w:color w:val="0C27E8"/>
          <w:sz w:val="22"/>
          <w:szCs w:val="22"/>
        </w:rPr>
        <w:t xml:space="preserve">☐  </w:t>
      </w:r>
      <w:r>
        <w:rPr>
          <w:color w:val="1D1D1F"/>
          <w:sz w:val="21"/>
          <w:szCs w:val="21"/>
        </w:rPr>
        <w:t xml:space="preserve">Nada de copy nova inventada nem número sem fonte; prints sempre com link para o veículo.</w:t>
      </w:r>
    </w:p>
    <w:p>
      <w:pPr>
        <w:spacing w:after="120"/>
      </w:pPr>
    </w:p>
    <w:p>
      <w:pPr>
        <w:pBdr>
          <w:bottom w:val="single" w:color="ECECEF" w:sz="6" w:space="1"/>
        </w:pBdr>
        <w:spacing w:after="120" w:before="120"/>
      </w:pPr>
    </w:p>
    <w:p>
      <w:r>
        <w:rPr>
          <w:i/>
          <w:iCs/>
          <w:color w:val="6E6E73"/>
          <w:sz w:val="18"/>
          <w:szCs w:val="18"/>
        </w:rPr>
        <w:t xml:space="preserve">Anexos a fornecer junto com este PRD: (1) PNGs dos logos de integração — Domínio, Alterdata, Questor; (2) prints das notícias escolhidas; (3) URLs reais de Instagram/LinkedIn e número de WhatsApp; (4) opcional: logos AWS e Anthropic/Claude Partner Network e logo BlueMetrics.</w:t>
      </w:r>
    </w:p>
    <w:sectPr>
      <w:pgSz w:w="11906" w:h="16838" w:orient="portrait"/>
      <w:pgMar w:top="1100" w:right="1180" w:bottom="11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C27E8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030A8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C27E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g30eelz5aiqniez5gcx" Type="http://schemas.openxmlformats.org/officeDocument/2006/relationships/hyperlink" Target="https://kontiva-lp-s.vercel.app/" TargetMode="External"/><Relationship Id="rIdumeggcl00kyls9qf-6kkf" Type="http://schemas.openxmlformats.org/officeDocument/2006/relationships/hyperlink" Target="https://www.cartacapital.com.br/do-micro-ao-macro/contadores-reforma-tributaria-pesquisa/" TargetMode="External"/><Relationship Id="rIdyuy2cblpuu1q9k1w7pvd0" Type="http://schemas.openxmlformats.org/officeDocument/2006/relationships/hyperlink" Target="https://www.contabeis.com.br/noticias/78144/reforma-tributaria-ja-impacta-escritorios-mas-56-dos-contadores-ainda-nao-tem-plano/" TargetMode="External"/><Relationship Id="rIdbocqmiszxppdphtgqjwup" Type="http://schemas.openxmlformats.org/officeDocument/2006/relationships/hyperlink" Target="https://fenacon.org.br/reforma-tributaria/contadores-ja-sentem-impacto-da-reforma-tributaria-mas-maioria-ainda-nao-tem-plano/" TargetMode="External"/><Relationship Id="rId8d4arkyd4lu5yscub1qe-" Type="http://schemas.openxmlformats.org/officeDocument/2006/relationships/hyperlink" Target="https://www.infomoney.com.br/minhas-financas/reforma-tributaria-mais-de-60-das-empresas-ainda-nao-mediram-o-impacto-nos-negocios/" TargetMode="External"/><Relationship Id="rIde3i8dwjfswmonkm9laroo" Type="http://schemas.openxmlformats.org/officeDocument/2006/relationships/hyperlink" Target="https://exame.com/economia/reforma-tributaria-apenas-95-das-empresas-se-dizem-prontas-para-mudancas-diz-estudo/" TargetMode="External"/><Relationship Id="rIdue4qmg8kbgg0bxfejukyp" Type="http://schemas.openxmlformats.org/officeDocument/2006/relationships/hyperlink" Target="https://agenciabrasil.ebc.com.br/economia/noticia/2025-11/pesquisa-mostra-que-empresas-nao-se-adaptaram-para-reforma-tributaria" TargetMode="External"/><Relationship Id="rIdheeaivpyadsqfrgppgyms" Type="http://schemas.openxmlformats.org/officeDocument/2006/relationships/hyperlink" Target="https://ibpt.org.br/split-payment-o-que-muda-no-caixa-das-empresas-com-a-nova-sistematica-de-cobranca-de-tributos/" TargetMode="External"/><Relationship Id="rIdsxmhys_0ieggp_qzyzfii" Type="http://schemas.openxmlformats.org/officeDocument/2006/relationships/hyperlink" Target="https://www.contabeis.com.br/noticias/77951/reforma-tributaria-split-payment-muda-fluxo-de-caixa/" TargetMode="External"/><Relationship Id="rIdrfatvfkj6z5mcugzn3q9c" Type="http://schemas.openxmlformats.org/officeDocument/2006/relationships/hyperlink" Target="https://www.contabeis.com.br/noticias/78932/so-1-das-empresas-diz-ter-ti-pronta-para-reforma-tributaria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2026-09-01T14:31:44.014Z</dcterms:created>
  <dcterms:modified xsi:type="dcterms:W3CDTF">2026-09-01T14:31:44.045Z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