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0e19ac6f746941d2c072c7067427b9de440bfa"/>
    <w:p>
      <w:pPr>
        <w:pStyle w:val="Heading1"/>
      </w:pPr>
      <w:r>
        <w:t xml:space="preserve">Comprehensive Research Report on the Credit Repair Industry</w:t>
      </w:r>
    </w:p>
    <w:p>
      <w:pPr>
        <w:pStyle w:val="FirstParagraph"/>
      </w:pPr>
      <w:r>
        <w:rPr>
          <w:bCs/>
          <w:b/>
        </w:rPr>
        <w:t xml:space="preserve">Author:</w:t>
      </w:r>
      <w:r>
        <w:t xml:space="preserve"> </w:t>
      </w:r>
      <w:r>
        <w:t xml:space="preserve">MiniMax Agent</w:t>
      </w:r>
    </w:p>
    <w:p>
      <w:pPr>
        <w:pStyle w:val="BodyText"/>
      </w:pPr>
      <w:r>
        <w:rPr>
          <w:bCs/>
          <w:b/>
        </w:rPr>
        <w:t xml:space="preserve">Date:</w:t>
      </w:r>
      <w:r>
        <w:t xml:space="preserve"> </w:t>
      </w:r>
      <w:r>
        <w:t xml:space="preserve">2025-06-25</w:t>
      </w:r>
    </w:p>
    <w:bookmarkStart w:id="20" w:name="executive-summary"/>
    <w:p>
      <w:pPr>
        <w:pStyle w:val="Heading2"/>
      </w:pPr>
      <w:r>
        <w:t xml:space="preserve">1. Executive Summary</w:t>
      </w:r>
    </w:p>
    <w:p>
      <w:pPr>
        <w:pStyle w:val="FirstParagraph"/>
      </w:pPr>
      <w:r>
        <w:t xml:space="preserve">This report provides a comprehensive overview of the credit repair industry, focusing on the regulatory, technical, and business aspects of developing a compliant and effective credit repair software platform. It covers the key federal regulations, the Fair Credit Reporting Act (FCRA) and the Credit Repair Organizations Act (CROA), outlines best practices for software development and data security, details essential software features, and discusses integration requirements with credit bureaus and scoring systems. The findings in this report are designed to provide actionable insights to inform the development of a robust and legally compliant credit repair software solution.</w:t>
      </w:r>
    </w:p>
    <w:bookmarkEnd w:id="20"/>
    <w:bookmarkStart w:id="23" w:name="regulatory-compliance"/>
    <w:p>
      <w:pPr>
        <w:pStyle w:val="Heading2"/>
      </w:pPr>
      <w:r>
        <w:t xml:space="preserve">2. Regulatory Compliance</w:t>
      </w:r>
    </w:p>
    <w:p>
      <w:pPr>
        <w:pStyle w:val="FirstParagraph"/>
      </w:pPr>
      <w:r>
        <w:t xml:space="preserve">The credit repair industry is heavily regulated at the federal level, primarily by the Fair Credit Reporting Act (FCRA) and the Credit Repair Organizations Act (CROA). Understanding and adhering to these regulations is critical for any credit repair software platform.</w:t>
      </w:r>
    </w:p>
    <w:bookmarkStart w:id="21" w:name="fair-credit-reporting-act-fcra"/>
    <w:p>
      <w:pPr>
        <w:pStyle w:val="Heading3"/>
      </w:pPr>
      <w:r>
        <w:t xml:space="preserve">2.1. Fair Credit Reporting Act (FCRA)</w:t>
      </w:r>
    </w:p>
    <w:p>
      <w:pPr>
        <w:pStyle w:val="FirstParagraph"/>
      </w:pPr>
      <w:r>
        <w:t xml:space="preserve">The FCRA is a cornerstone of consumer credit protection. Key requirements for credit repair companies under the FCRA include:</w:t>
      </w:r>
    </w:p>
    <w:p>
      <w:pPr>
        <w:numPr>
          <w:ilvl w:val="0"/>
          <w:numId w:val="1001"/>
        </w:numPr>
        <w:pStyle w:val="Compact"/>
      </w:pPr>
      <w:r>
        <w:rPr>
          <w:bCs/>
          <w:b/>
        </w:rPr>
        <w:t xml:space="preserve">Permissible Purpose:</w:t>
      </w:r>
      <w:r>
        <w:t xml:space="preserve"> </w:t>
      </w:r>
      <w:r>
        <w:t xml:space="preserve">A credit repair organization must have a permissible purpose to obtain a consumer’s credit report, which is typically granted through written authorization from the consumer.</w:t>
      </w:r>
    </w:p>
    <w:p>
      <w:pPr>
        <w:numPr>
          <w:ilvl w:val="0"/>
          <w:numId w:val="1001"/>
        </w:numPr>
        <w:pStyle w:val="Compact"/>
      </w:pPr>
      <w:r>
        <w:rPr>
          <w:bCs/>
          <w:b/>
        </w:rPr>
        <w:t xml:space="preserve">Accurate Information:</w:t>
      </w:r>
      <w:r>
        <w:t xml:space="preserve"> </w:t>
      </w:r>
      <w:r>
        <w:t xml:space="preserve">The FCRA mandates that consumer reporting agencies (CRAs) follow reasonable procedures to assure maximum possible accuracy of the information in their reports. Credit repair companies play a role in this by disputing inaccurate information on behalf of consumers.</w:t>
      </w:r>
    </w:p>
    <w:p>
      <w:pPr>
        <w:numPr>
          <w:ilvl w:val="0"/>
          <w:numId w:val="1001"/>
        </w:numPr>
        <w:pStyle w:val="Compact"/>
      </w:pPr>
      <w:r>
        <w:rPr>
          <w:bCs/>
          <w:b/>
        </w:rPr>
        <w:t xml:space="preserve">Dispute Resolution:</w:t>
      </w:r>
      <w:r>
        <w:t xml:space="preserve"> </w:t>
      </w:r>
      <w:r>
        <w:t xml:space="preserve">Consumers have the right to dispute inaccurate information in their credit files. CRAs are required to investigate these disputes, typically within 30 days, and correct or delete any information that is found to be inaccurate or unverifiable.</w:t>
      </w:r>
    </w:p>
    <w:p>
      <w:pPr>
        <w:numPr>
          <w:ilvl w:val="0"/>
          <w:numId w:val="1001"/>
        </w:numPr>
        <w:pStyle w:val="Compact"/>
      </w:pPr>
      <w:r>
        <w:rPr>
          <w:bCs/>
          <w:b/>
        </w:rPr>
        <w:t xml:space="preserve">Furnisher Responsibilities:</w:t>
      </w:r>
      <w:r>
        <w:t xml:space="preserve"> </w:t>
      </w:r>
      <w:r>
        <w:t xml:space="preserve">The entities that furnish information to the CRAs also have obligations under the FCRA, including the duty to investigate disputed information.</w:t>
      </w:r>
    </w:p>
    <w:bookmarkEnd w:id="21"/>
    <w:bookmarkStart w:id="22" w:name="credit-repair-organizations-act-croa"/>
    <w:p>
      <w:pPr>
        <w:pStyle w:val="Heading3"/>
      </w:pPr>
      <w:r>
        <w:t xml:space="preserve">2.2. Credit Repair Organizations Act (CROA)</w:t>
      </w:r>
    </w:p>
    <w:p>
      <w:pPr>
        <w:pStyle w:val="FirstParagraph"/>
      </w:pPr>
      <w:r>
        <w:t xml:space="preserve">CROA was enacted specifically to target unfair and deceptive practices in the credit repair industry. Key compliance requirements under CROA include:</w:t>
      </w:r>
    </w:p>
    <w:p>
      <w:pPr>
        <w:numPr>
          <w:ilvl w:val="0"/>
          <w:numId w:val="1002"/>
        </w:numPr>
        <w:pStyle w:val="Compact"/>
      </w:pPr>
      <w:r>
        <w:rPr>
          <w:bCs/>
          <w:b/>
        </w:rPr>
        <w:t xml:space="preserve">Prohibited Practices:</w:t>
      </w:r>
      <w:r>
        <w:t xml:space="preserve"> </w:t>
      </w:r>
      <w:r>
        <w:t xml:space="preserve">CROA prohibits credit repair organizations from making any statement that is untrue or misleading, or advising any consumer to make such a statement, to a CRA or creditor. This includes creating a</w:t>
      </w:r>
      <w:r>
        <w:t xml:space="preserve"> </w:t>
      </w:r>
      <w:r>
        <w:t xml:space="preserve">“</w:t>
      </w:r>
      <w:r>
        <w:t xml:space="preserve">new identity</w:t>
      </w:r>
      <w:r>
        <w:t xml:space="preserve">”</w:t>
      </w:r>
      <w:r>
        <w:t xml:space="preserve"> </w:t>
      </w:r>
      <w:r>
        <w:t xml:space="preserve">for a consumer to hide negative credit history.</w:t>
      </w:r>
    </w:p>
    <w:p>
      <w:pPr>
        <w:numPr>
          <w:ilvl w:val="0"/>
          <w:numId w:val="1002"/>
        </w:numPr>
        <w:pStyle w:val="Compact"/>
      </w:pPr>
      <w:r>
        <w:rPr>
          <w:bCs/>
          <w:b/>
        </w:rPr>
        <w:t xml:space="preserve">Written Contracts:</w:t>
      </w:r>
      <w:r>
        <w:t xml:space="preserve"> </w:t>
      </w:r>
      <w:r>
        <w:t xml:space="preserve">All contracts for credit repair services must be in writing, dated, and signed by the consumer. The contract must include a detailed description of the services to be performed, the total cost of the services, and a conspicuous statement of the consumer’s right to cancel.</w:t>
      </w:r>
    </w:p>
    <w:p>
      <w:pPr>
        <w:numPr>
          <w:ilvl w:val="0"/>
          <w:numId w:val="1002"/>
        </w:numPr>
        <w:pStyle w:val="Compact"/>
      </w:pPr>
      <w:r>
        <w:rPr>
          <w:bCs/>
          <w:b/>
        </w:rPr>
        <w:t xml:space="preserve">Right to Cancel:</w:t>
      </w:r>
      <w:r>
        <w:t xml:space="preserve"> </w:t>
      </w:r>
      <w:r>
        <w:t xml:space="preserve">Consumers have the right to cancel a contract with a credit repair organization without penalty or obligation within three business days of signing the contract.</w:t>
      </w:r>
    </w:p>
    <w:p>
      <w:pPr>
        <w:numPr>
          <w:ilvl w:val="0"/>
          <w:numId w:val="1002"/>
        </w:numPr>
        <w:pStyle w:val="Compact"/>
      </w:pPr>
      <w:r>
        <w:rPr>
          <w:bCs/>
          <w:b/>
        </w:rPr>
        <w:t xml:space="preserve">Advance Payment Prohibition:</w:t>
      </w:r>
      <w:r>
        <w:t xml:space="preserve"> </w:t>
      </w:r>
      <w:r>
        <w:t xml:space="preserve">Credit repair organizations are prohibited from charging or receiving any money or other valuable consideration for the performance of any service before that service is fully performed.</w:t>
      </w:r>
    </w:p>
    <w:p>
      <w:pPr>
        <w:numPr>
          <w:ilvl w:val="0"/>
          <w:numId w:val="1002"/>
        </w:numPr>
        <w:pStyle w:val="Compact"/>
      </w:pPr>
      <w:r>
        <w:rPr>
          <w:bCs/>
          <w:b/>
        </w:rPr>
        <w:t xml:space="preserve">Disclosures:</w:t>
      </w:r>
      <w:r>
        <w:t xml:space="preserve"> </w:t>
      </w:r>
      <w:r>
        <w:t xml:space="preserve">Before a consumer signs a contract, the credit repair organization must provide them with a separate written statement titled</w:t>
      </w:r>
      <w:r>
        <w:t xml:space="preserve"> </w:t>
      </w:r>
      <w:r>
        <w:t xml:space="preserve">“</w:t>
      </w:r>
      <w:r>
        <w:t xml:space="preserve">Consumer Credit File Rights Under State and Federal Law.</w:t>
      </w:r>
      <w:r>
        <w:t xml:space="preserve">”</w:t>
      </w:r>
      <w:r>
        <w:t xml:space="preserve"> </w:t>
      </w:r>
      <w:r>
        <w:t xml:space="preserve">This document outlines the consumer’s rights under the FCRA and CROA.</w:t>
      </w:r>
    </w:p>
    <w:bookmarkEnd w:id="22"/>
    <w:bookmarkEnd w:id="23"/>
    <w:bookmarkStart w:id="24" w:name="X507891003163677560f5d20ddd8608c1ca5dd1f"/>
    <w:p>
      <w:pPr>
        <w:pStyle w:val="Heading2"/>
      </w:pPr>
      <w:r>
        <w:t xml:space="preserve">3. Best Practices for Credit Repair Software Development</w:t>
      </w:r>
    </w:p>
    <w:p>
      <w:pPr>
        <w:pStyle w:val="FirstParagraph"/>
      </w:pPr>
      <w:r>
        <w:t xml:space="preserve">Developing a credit repair software platform requires adherence to best practices that ensure compliance, security, and usability.</w:t>
      </w:r>
    </w:p>
    <w:p>
      <w:pPr>
        <w:numPr>
          <w:ilvl w:val="0"/>
          <w:numId w:val="1003"/>
        </w:numPr>
        <w:pStyle w:val="Compact"/>
      </w:pPr>
      <w:r>
        <w:rPr>
          <w:bCs/>
          <w:b/>
        </w:rPr>
        <w:t xml:space="preserve">Security by Design:</w:t>
      </w:r>
      <w:r>
        <w:t xml:space="preserve"> </w:t>
      </w:r>
      <w:r>
        <w:t xml:space="preserve">Security should be a primary consideration throughout the development lifecycle, not an afterthought. This includes implementing secure coding practices, conducting regular security audits, and using encryption to protect sensitive data.</w:t>
      </w:r>
    </w:p>
    <w:p>
      <w:pPr>
        <w:numPr>
          <w:ilvl w:val="0"/>
          <w:numId w:val="1003"/>
        </w:numPr>
        <w:pStyle w:val="Compact"/>
      </w:pPr>
      <w:r>
        <w:rPr>
          <w:bCs/>
          <w:b/>
        </w:rPr>
        <w:t xml:space="preserve">Compliance-First Approach:</w:t>
      </w:r>
      <w:r>
        <w:t xml:space="preserve"> </w:t>
      </w:r>
      <w:r>
        <w:t xml:space="preserve">The software should be designed with FCRA and CROA compliance at its core. This means building in features that facilitate compliance, such as automated disclosures, secure document management, and compliant contract generation.</w:t>
      </w:r>
    </w:p>
    <w:p>
      <w:pPr>
        <w:numPr>
          <w:ilvl w:val="0"/>
          <w:numId w:val="1003"/>
        </w:numPr>
        <w:pStyle w:val="Compact"/>
      </w:pPr>
      <w:r>
        <w:rPr>
          <w:bCs/>
          <w:b/>
        </w:rPr>
        <w:t xml:space="preserve">User-Centric Design:</w:t>
      </w:r>
      <w:r>
        <w:t xml:space="preserve"> </w:t>
      </w:r>
      <w:r>
        <w:t xml:space="preserve">The software should be intuitive and easy to use for both credit repair professionals and their clients. A clean user interface, clear navigation, and helpful tooltips can significantly improve the user experience.</w:t>
      </w:r>
    </w:p>
    <w:p>
      <w:pPr>
        <w:numPr>
          <w:ilvl w:val="0"/>
          <w:numId w:val="1003"/>
        </w:numPr>
        <w:pStyle w:val="Compact"/>
      </w:pPr>
      <w:r>
        <w:rPr>
          <w:bCs/>
          <w:b/>
        </w:rPr>
        <w:t xml:space="preserve">Scalability and Performance:</w:t>
      </w:r>
      <w:r>
        <w:t xml:space="preserve"> </w:t>
      </w:r>
      <w:r>
        <w:t xml:space="preserve">The platform should be built to handle a growing number of users and a large volume of data without sacrificing performance. This requires a robust architecture and efficient database design.</w:t>
      </w:r>
    </w:p>
    <w:bookmarkEnd w:id="24"/>
    <w:bookmarkStart w:id="25" w:name="X9a357b9c103c2cc8b451b8498f4a35c1060f90a"/>
    <w:p>
      <w:pPr>
        <w:pStyle w:val="Heading2"/>
      </w:pPr>
      <w:r>
        <w:t xml:space="preserve">4. Essential Features for Credit Repair Software</w:t>
      </w:r>
    </w:p>
    <w:p>
      <w:pPr>
        <w:pStyle w:val="FirstParagraph"/>
      </w:pPr>
      <w:r>
        <w:t xml:space="preserve">A comprehensive credit repair software platform should include the following essential features:</w:t>
      </w:r>
    </w:p>
    <w:p>
      <w:pPr>
        <w:numPr>
          <w:ilvl w:val="0"/>
          <w:numId w:val="1004"/>
        </w:numPr>
        <w:pStyle w:val="Compact"/>
      </w:pPr>
      <w:r>
        <w:rPr>
          <w:bCs/>
          <w:b/>
        </w:rPr>
        <w:t xml:space="preserve">Client and Lead Management (CRM):</w:t>
      </w:r>
      <w:r>
        <w:t xml:space="preserve"> </w:t>
      </w:r>
      <w:r>
        <w:t xml:space="preserve">A centralized system to manage client information, track leads, and communicate with clients and affiliates.</w:t>
      </w:r>
    </w:p>
    <w:p>
      <w:pPr>
        <w:numPr>
          <w:ilvl w:val="0"/>
          <w:numId w:val="1004"/>
        </w:numPr>
        <w:pStyle w:val="Compact"/>
      </w:pPr>
      <w:r>
        <w:rPr>
          <w:bCs/>
          <w:b/>
        </w:rPr>
        <w:t xml:space="preserve">Credit Report Importing and Analysis:</w:t>
      </w:r>
      <w:r>
        <w:t xml:space="preserve"> </w:t>
      </w:r>
      <w:r>
        <w:t xml:space="preserve">The ability to import credit reports from all three major credit bureaus (Equifax, Experian, and TransUnion) and automatically identify negative items.</w:t>
      </w:r>
    </w:p>
    <w:p>
      <w:pPr>
        <w:numPr>
          <w:ilvl w:val="0"/>
          <w:numId w:val="1004"/>
        </w:numPr>
        <w:pStyle w:val="Compact"/>
      </w:pPr>
      <w:r>
        <w:rPr>
          <w:bCs/>
          <w:b/>
        </w:rPr>
        <w:t xml:space="preserve">Dispute Letter Automation:</w:t>
      </w:r>
      <w:r>
        <w:t xml:space="preserve"> </w:t>
      </w:r>
      <w:r>
        <w:t xml:space="preserve">A tool to generate and manage dispute letters to credit bureaus and creditors. This should include a library of professionally written dispute letters and the ability to create custom letters.</w:t>
      </w:r>
    </w:p>
    <w:p>
      <w:pPr>
        <w:numPr>
          <w:ilvl w:val="0"/>
          <w:numId w:val="1004"/>
        </w:numPr>
        <w:pStyle w:val="Compact"/>
      </w:pPr>
      <w:r>
        <w:rPr>
          <w:bCs/>
          <w:b/>
        </w:rPr>
        <w:t xml:space="preserve">Workflow Automation:</w:t>
      </w:r>
      <w:r>
        <w:t xml:space="preserve"> </w:t>
      </w:r>
      <w:r>
        <w:t xml:space="preserve">The ability to automate repetitive tasks, such as sending follow-up letters and tracking the status of disputes.</w:t>
      </w:r>
    </w:p>
    <w:p>
      <w:pPr>
        <w:numPr>
          <w:ilvl w:val="0"/>
          <w:numId w:val="1004"/>
        </w:numPr>
        <w:pStyle w:val="Compact"/>
      </w:pPr>
      <w:r>
        <w:rPr>
          <w:bCs/>
          <w:b/>
        </w:rPr>
        <w:t xml:space="preserve">Client Portal:</w:t>
      </w:r>
      <w:r>
        <w:t xml:space="preserve"> </w:t>
      </w:r>
      <w:r>
        <w:t xml:space="preserve">A secure online portal where clients can track the progress of their credit repair, upload documents, and communicate with their credit repair specialist.</w:t>
      </w:r>
    </w:p>
    <w:p>
      <w:pPr>
        <w:numPr>
          <w:ilvl w:val="0"/>
          <w:numId w:val="1004"/>
        </w:numPr>
        <w:pStyle w:val="Compact"/>
      </w:pPr>
      <w:r>
        <w:rPr>
          <w:bCs/>
          <w:b/>
        </w:rPr>
        <w:t xml:space="preserve">Compliance Tools:</w:t>
      </w:r>
      <w:r>
        <w:t xml:space="preserve"> </w:t>
      </w:r>
      <w:r>
        <w:t xml:space="preserve">Features that help credit repair companies stay compliant with FCRA and CROA, such as automated contract generation with e-signature capabilities and compliant disclosure forms.</w:t>
      </w:r>
    </w:p>
    <w:p>
      <w:pPr>
        <w:numPr>
          <w:ilvl w:val="0"/>
          <w:numId w:val="1004"/>
        </w:numPr>
        <w:pStyle w:val="Compact"/>
      </w:pPr>
      <w:r>
        <w:rPr>
          <w:bCs/>
          <w:b/>
        </w:rPr>
        <w:t xml:space="preserve">Reporting and Analytics:</w:t>
      </w:r>
      <w:r>
        <w:t xml:space="preserve"> </w:t>
      </w:r>
      <w:r>
        <w:t xml:space="preserve">Tools to track key metrics, such as the number of negative items removed, and generate reports for clients and business analysis.</w:t>
      </w:r>
    </w:p>
    <w:bookmarkEnd w:id="25"/>
    <w:bookmarkStart w:id="26" w:name="X9eaba88e43eb28e337bce24018bb01f7f806ee8"/>
    <w:p>
      <w:pPr>
        <w:pStyle w:val="Heading2"/>
      </w:pPr>
      <w:r>
        <w:t xml:space="preserve">5. Industry Standards for Data Security and Privacy</w:t>
      </w:r>
    </w:p>
    <w:p>
      <w:pPr>
        <w:pStyle w:val="FirstParagraph"/>
      </w:pPr>
      <w:r>
        <w:t xml:space="preserve">Data security and privacy are paramount in the credit repair industry, given the sensitive nature of the information being handled. Key industry standards include:</w:t>
      </w:r>
    </w:p>
    <w:p>
      <w:pPr>
        <w:numPr>
          <w:ilvl w:val="0"/>
          <w:numId w:val="1005"/>
        </w:numPr>
        <w:pStyle w:val="Compact"/>
      </w:pPr>
      <w:r>
        <w:rPr>
          <w:bCs/>
          <w:b/>
        </w:rPr>
        <w:t xml:space="preserve">PCI DSS Compliance:</w:t>
      </w:r>
      <w:r>
        <w:t xml:space="preserve"> </w:t>
      </w:r>
      <w:r>
        <w:t xml:space="preserve">For any software that processes, stores, or transmits credit card information, compliance with the Payment Card Industry Data Security Standard (PCI DSS) is mandatory. This includes using compliant payment processors, encrypting cardholder data, and restricting access to sensitive information.</w:t>
      </w:r>
    </w:p>
    <w:p>
      <w:pPr>
        <w:numPr>
          <w:ilvl w:val="0"/>
          <w:numId w:val="1005"/>
        </w:numPr>
        <w:pStyle w:val="Compact"/>
      </w:pPr>
      <w:r>
        <w:rPr>
          <w:bCs/>
          <w:b/>
        </w:rPr>
        <w:t xml:space="preserve">Encryption:</w:t>
      </w:r>
      <w:r>
        <w:t xml:space="preserve"> </w:t>
      </w:r>
      <w:r>
        <w:t xml:space="preserve">All sensitive data, both at rest and in transit, should be encrypted using strong encryption protocols such as AES-256 and TLS.</w:t>
      </w:r>
    </w:p>
    <w:p>
      <w:pPr>
        <w:numPr>
          <w:ilvl w:val="0"/>
          <w:numId w:val="1005"/>
        </w:numPr>
        <w:pStyle w:val="Compact"/>
      </w:pPr>
      <w:r>
        <w:rPr>
          <w:bCs/>
          <w:b/>
        </w:rPr>
        <w:t xml:space="preserve">Access Control:</w:t>
      </w:r>
      <w:r>
        <w:t xml:space="preserve"> </w:t>
      </w:r>
      <w:r>
        <w:t xml:space="preserve">Access to sensitive client data should be restricted on a need-to-know basis using role-based access control (RBAC) and multi-factor authentication (MFA).</w:t>
      </w:r>
    </w:p>
    <w:p>
      <w:pPr>
        <w:numPr>
          <w:ilvl w:val="0"/>
          <w:numId w:val="1005"/>
        </w:numPr>
        <w:pStyle w:val="Compact"/>
      </w:pPr>
      <w:r>
        <w:rPr>
          <w:bCs/>
          <w:b/>
        </w:rPr>
        <w:t xml:space="preserve">Written Information Security Plan (WISP):</w:t>
      </w:r>
      <w:r>
        <w:t xml:space="preserve"> </w:t>
      </w:r>
      <w:r>
        <w:t xml:space="preserve">Credit repair companies should have a comprehensive WISP that outlines their data security policies and procedures. This should include employee training, incident response protocols, and regular risk assessments.</w:t>
      </w:r>
    </w:p>
    <w:p>
      <w:pPr>
        <w:numPr>
          <w:ilvl w:val="0"/>
          <w:numId w:val="1005"/>
        </w:numPr>
        <w:pStyle w:val="Compact"/>
      </w:pPr>
      <w:r>
        <w:rPr>
          <w:bCs/>
          <w:b/>
        </w:rPr>
        <w:t xml:space="preserve">Regular Audits and Monitoring:</w:t>
      </w:r>
      <w:r>
        <w:t xml:space="preserve"> </w:t>
      </w:r>
      <w:r>
        <w:t xml:space="preserve">The software platform and internal systems should be regularly audited and monitored for security vulnerabilities. This includes conducting penetration testing and vulnerability scans.</w:t>
      </w:r>
    </w:p>
    <w:bookmarkEnd w:id="26"/>
    <w:bookmarkStart w:id="27" w:name="X767bc3d9055fb14a1f510d9d6469d4a2005a9ab"/>
    <w:p>
      <w:pPr>
        <w:pStyle w:val="Heading2"/>
      </w:pPr>
      <w:r>
        <w:t xml:space="preserve">6. Common Credit Repair Processes and Workflows</w:t>
      </w:r>
    </w:p>
    <w:p>
      <w:pPr>
        <w:pStyle w:val="FirstParagraph"/>
      </w:pPr>
      <w:r>
        <w:t xml:space="preserve">A typical credit repair process, as supported by leading credit repair software, follows these steps:</w:t>
      </w:r>
    </w:p>
    <w:p>
      <w:pPr>
        <w:numPr>
          <w:ilvl w:val="0"/>
          <w:numId w:val="1006"/>
        </w:numPr>
        <w:pStyle w:val="Compact"/>
      </w:pPr>
      <w:r>
        <w:rPr>
          <w:bCs/>
          <w:b/>
        </w:rPr>
        <w:t xml:space="preserve">Lead Generation and Consultation:</w:t>
      </w:r>
      <w:r>
        <w:t xml:space="preserve"> </w:t>
      </w:r>
      <w:r>
        <w:t xml:space="preserve">A potential client expresses interest and schedules a free consultation.</w:t>
      </w:r>
    </w:p>
    <w:p>
      <w:pPr>
        <w:numPr>
          <w:ilvl w:val="0"/>
          <w:numId w:val="1006"/>
        </w:numPr>
        <w:pStyle w:val="Compact"/>
      </w:pPr>
      <w:r>
        <w:rPr>
          <w:bCs/>
          <w:b/>
        </w:rPr>
        <w:t xml:space="preserve">Credit Report Analysis:</w:t>
      </w:r>
      <w:r>
        <w:t xml:space="preserve"> </w:t>
      </w:r>
      <w:r>
        <w:t xml:space="preserve">The credit repair specialist, with the client’s permission, obtains and analyzes the client’s credit reports from all three major bureaus.</w:t>
      </w:r>
    </w:p>
    <w:p>
      <w:pPr>
        <w:numPr>
          <w:ilvl w:val="0"/>
          <w:numId w:val="1006"/>
        </w:numPr>
        <w:pStyle w:val="Compact"/>
      </w:pPr>
      <w:r>
        <w:rPr>
          <w:bCs/>
          <w:b/>
        </w:rPr>
        <w:t xml:space="preserve">Client Onboarding:</w:t>
      </w:r>
      <w:r>
        <w:t xml:space="preserve"> </w:t>
      </w:r>
      <w:r>
        <w:t xml:space="preserve">If the client decides to proceed, they sign a written contract and are onboarded into the credit repair software platform.</w:t>
      </w:r>
    </w:p>
    <w:p>
      <w:pPr>
        <w:numPr>
          <w:ilvl w:val="0"/>
          <w:numId w:val="1006"/>
        </w:numPr>
        <w:pStyle w:val="Compact"/>
      </w:pPr>
      <w:r>
        <w:rPr>
          <w:bCs/>
          <w:b/>
        </w:rPr>
        <w:t xml:space="preserve">Dispute Process:</w:t>
      </w:r>
      <w:r>
        <w:t xml:space="preserve"> </w:t>
      </w:r>
      <w:r>
        <w:t xml:space="preserve">The credit repair specialist identifies inaccurate or unverifiable information on the credit reports and initiates the dispute process by sending dispute letters to the credit bureaus and creditors.</w:t>
      </w:r>
    </w:p>
    <w:p>
      <w:pPr>
        <w:numPr>
          <w:ilvl w:val="0"/>
          <w:numId w:val="1006"/>
        </w:numPr>
        <w:pStyle w:val="Compact"/>
      </w:pPr>
      <w:r>
        <w:rPr>
          <w:bCs/>
          <w:b/>
        </w:rPr>
        <w:t xml:space="preserve">Tracking and Follow-up:</w:t>
      </w:r>
      <w:r>
        <w:t xml:space="preserve"> </w:t>
      </w:r>
      <w:r>
        <w:t xml:space="preserve">The software tracks the status of each dispute and sends automated follow-up letters as needed.</w:t>
      </w:r>
    </w:p>
    <w:p>
      <w:pPr>
        <w:numPr>
          <w:ilvl w:val="0"/>
          <w:numId w:val="1006"/>
        </w:numPr>
        <w:pStyle w:val="Compact"/>
      </w:pPr>
      <w:r>
        <w:rPr>
          <w:bCs/>
          <w:b/>
        </w:rPr>
        <w:t xml:space="preserve">Results and Monitoring:</w:t>
      </w:r>
      <w:r>
        <w:t xml:space="preserve"> </w:t>
      </w:r>
      <w:r>
        <w:t xml:space="preserve">As negative items are removed, the client’s credit score improves. The software provides tools to track this progress and monitor the client’s credit over time.</w:t>
      </w:r>
    </w:p>
    <w:bookmarkEnd w:id="27"/>
    <w:bookmarkStart w:id="28" w:name="Xb66f2cdfd73cb728352c663470caf5fc9b00b51"/>
    <w:p>
      <w:pPr>
        <w:pStyle w:val="Heading2"/>
      </w:pPr>
      <w:r>
        <w:t xml:space="preserve">7. Legal Considerations and Required Disclaimers</w:t>
      </w:r>
    </w:p>
    <w:p>
      <w:pPr>
        <w:pStyle w:val="FirstParagraph"/>
      </w:pPr>
      <w:r>
        <w:t xml:space="preserve">In addition to the requirements of the FCRA and CROA, credit repair software must also account for other legal considerations and include specific disclaimers:</w:t>
      </w:r>
    </w:p>
    <w:p>
      <w:pPr>
        <w:numPr>
          <w:ilvl w:val="0"/>
          <w:numId w:val="1007"/>
        </w:numPr>
        <w:pStyle w:val="Compact"/>
      </w:pPr>
      <w:r>
        <w:rPr>
          <w:bCs/>
          <w:b/>
        </w:rPr>
        <w:t xml:space="preserve">State Laws:</w:t>
      </w:r>
      <w:r>
        <w:t xml:space="preserve"> </w:t>
      </w:r>
      <w:r>
        <w:t xml:space="preserve">Many states have their own laws that regulate credit repair organizations. These laws may require credit repair companies to be bonded or to have a licensed attorney on staff.</w:t>
      </w:r>
    </w:p>
    <w:p>
      <w:pPr>
        <w:numPr>
          <w:ilvl w:val="0"/>
          <w:numId w:val="1007"/>
        </w:numPr>
        <w:pStyle w:val="Compact"/>
      </w:pPr>
      <w:r>
        <w:rPr>
          <w:bCs/>
          <w:b/>
        </w:rPr>
        <w:t xml:space="preserve">Required Disclaimers:</w:t>
      </w:r>
      <w:r>
        <w:t xml:space="preserve"> </w:t>
      </w:r>
      <w:r>
        <w:t xml:space="preserve">The software must be able to generate and display all legally required disclaimers, including the</w:t>
      </w:r>
      <w:r>
        <w:t xml:space="preserve"> </w:t>
      </w:r>
      <w:r>
        <w:t xml:space="preserve">“</w:t>
      </w:r>
      <w:r>
        <w:t xml:space="preserve">Consumer Credit File Rights Under State and Federal Law</w:t>
      </w:r>
      <w:r>
        <w:t xml:space="preserve">”</w:t>
      </w:r>
      <w:r>
        <w:t xml:space="preserve"> </w:t>
      </w:r>
      <w:r>
        <w:t xml:space="preserve">disclosure, the notice of cancellation rights, and any state-specific disclaimers.</w:t>
      </w:r>
    </w:p>
    <w:p>
      <w:pPr>
        <w:numPr>
          <w:ilvl w:val="0"/>
          <w:numId w:val="1007"/>
        </w:numPr>
        <w:pStyle w:val="Compact"/>
      </w:pPr>
      <w:r>
        <w:rPr>
          <w:bCs/>
          <w:b/>
        </w:rPr>
        <w:t xml:space="preserve">Advertising and Marketing:</w:t>
      </w:r>
      <w:r>
        <w:t xml:space="preserve"> </w:t>
      </w:r>
      <w:r>
        <w:t xml:space="preserve">All advertising and marketing materials must be truthful and not misleading. The software should not generate any marketing materials that make false promises or guarantees about the results of credit repair.</w:t>
      </w:r>
    </w:p>
    <w:bookmarkEnd w:id="28"/>
    <w:bookmarkStart w:id="29" w:name="X0d982eb76d59dfe87abcecf263754e83d38f278"/>
    <w:p>
      <w:pPr>
        <w:pStyle w:val="Heading2"/>
      </w:pPr>
      <w:r>
        <w:t xml:space="preserve">8. Integration Requirements with Credit Bureaus and Scoring Systems</w:t>
      </w:r>
    </w:p>
    <w:p>
      <w:pPr>
        <w:pStyle w:val="FirstParagraph"/>
      </w:pPr>
      <w:r>
        <w:t xml:space="preserve">To be effective, a credit repair software platform must integrate with the major credit bureaus and credit scoring systems.</w:t>
      </w:r>
    </w:p>
    <w:p>
      <w:pPr>
        <w:numPr>
          <w:ilvl w:val="0"/>
          <w:numId w:val="1008"/>
        </w:numPr>
        <w:pStyle w:val="Compact"/>
      </w:pPr>
      <w:r>
        <w:rPr>
          <w:bCs/>
          <w:b/>
        </w:rPr>
        <w:t xml:space="preserve">Credit Bureau APIs:</w:t>
      </w:r>
      <w:r>
        <w:t xml:space="preserve"> </w:t>
      </w:r>
      <w:r>
        <w:t xml:space="preserve">The software must be able to connect to the APIs of Equifax, Experian, and TransUnion to import credit reports and submit disputes electronically. This requires obtaining the necessary credentials and adhering to the technical specifications of each bureau’s API.</w:t>
      </w:r>
    </w:p>
    <w:p>
      <w:pPr>
        <w:numPr>
          <w:ilvl w:val="0"/>
          <w:numId w:val="1008"/>
        </w:numPr>
        <w:pStyle w:val="Compact"/>
      </w:pPr>
      <w:r>
        <w:rPr>
          <w:bCs/>
          <w:b/>
        </w:rPr>
        <w:t xml:space="preserve">Third-Party API Providers:</w:t>
      </w:r>
      <w:r>
        <w:t xml:space="preserve"> </w:t>
      </w:r>
      <w:r>
        <w:t xml:space="preserve">There are also third-party API providers that offer a single point of integration for accessing credit data from all three bureaus. These providers can simplify the integration process and may offer additional features, such as data parsing and standardization.</w:t>
      </w:r>
    </w:p>
    <w:p>
      <w:pPr>
        <w:numPr>
          <w:ilvl w:val="0"/>
          <w:numId w:val="1008"/>
        </w:numPr>
        <w:pStyle w:val="Compact"/>
      </w:pPr>
      <w:r>
        <w:rPr>
          <w:bCs/>
          <w:b/>
        </w:rPr>
        <w:t xml:space="preserve">Credit Scoring System Integration:</w:t>
      </w:r>
      <w:r>
        <w:t xml:space="preserve"> </w:t>
      </w:r>
      <w:r>
        <w:t xml:space="preserve">The software should be able to retrieve and display credit scores from the major scoring models, such as FICO and VantageScore. This may involve integrating with the credit bureaus’ APIs or with third-party credit score providers.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2025-06-25T10:14:36Z</dcterms:created>
  <dcterms:modified xsi:type="dcterms:W3CDTF">2025-06-25T10:14:36Z</dcterms:modified>
</cp:coreProperties>
</file>

<file path=docProps/custom.xml><?xml version="1.0" encoding="utf-8"?>
<Properties xmlns="http://schemas.openxmlformats.org/officeDocument/2006/custom-properties" xmlns:vt="http://schemas.openxmlformats.org/officeDocument/2006/docPropsVTypes"/>
</file>