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aps/>
          <w:color w:val="1F4E79"/>
          <w:sz w:val="48"/>
          <w:szCs w:val="48"/>
        </w:rPr>
        <w:t xml:space="preserve">LESLIE FOGG</w:t>
      </w:r>
    </w:p>
    <w:p>
      <w:pPr>
        <w:spacing w:after="60" w:before="0"/>
        <w:jc w:val="center"/>
      </w:pPr>
      <w:r>
        <w:rPr>
          <w:rFonts w:ascii="Arial" w:cs="Arial" w:eastAsia="Arial" w:hAnsi="Arial"/>
          <w:i w:val="false"/>
          <w:iCs w:val="false"/>
          <w:color w:val="555555"/>
          <w:sz w:val="26"/>
          <w:szCs w:val="26"/>
        </w:rPr>
        <w:t xml:space="preserve">Residential Construction Estimator</w:t>
      </w:r>
    </w:p>
    <w:p>
      <w:pPr>
        <w:spacing w:after="20" w:before="0"/>
        <w:jc w:val="center"/>
      </w:pPr>
      <w:r>
        <w:rPr>
          <w:rFonts w:ascii="Arial" w:cs="Arial" w:eastAsia="Arial" w:hAnsi="Arial"/>
          <w:color w:val="555555"/>
          <w:sz w:val="19"/>
          <w:szCs w:val="19"/>
        </w:rPr>
        <w:t xml:space="preserve">Sheridan, Wyoming  •  Available for Contract &amp; Remote Estimating Work</w:t>
      </w:r>
    </w:p>
    <w:p>
      <w:pPr>
        <w:pBdr>
          <w:bottom w:val="single" w:color="1F4E79" w:sz="12" w:space="1"/>
        </w:pBdr>
        <w:spacing w:after="160" w:before="60"/>
      </w:pPr>
    </w:p>
    <w:p>
      <w:pPr>
        <w:spacing w:after="40" w:before="240"/>
      </w:pPr>
      <w:r>
        <w:rPr>
          <w:rFonts w:ascii="Arial" w:cs="Arial" w:eastAsia="Arial" w:hAnsi="Arial"/>
          <w:b/>
          <w:bCs/>
          <w:caps/>
          <w:color w:val="1F4E79"/>
          <w:sz w:val="22"/>
          <w:szCs w:val="22"/>
        </w:rPr>
        <w:t xml:space="preserve">Professional Summary</w:t>
      </w:r>
    </w:p>
    <w:p>
      <w:pPr>
        <w:pBdr>
          <w:bottom w:val="single" w:color="1F4E79" w:sz="8" w:space="1"/>
        </w:pBdr>
        <w:spacing w:after="80" w:before="0"/>
      </w:pPr>
    </w:p>
    <w:p>
      <w:pPr>
        <w:spacing w:after="60" w:before="60"/>
        <w:jc w:val="left"/>
      </w:pPr>
      <w:r>
        <w:rPr>
          <w:rFonts w:ascii="Arial" w:cs="Arial" w:eastAsia="Arial" w:hAnsi="Arial"/>
          <w:b w:val="false"/>
          <w:bCs w:val="false"/>
          <w:i w:val="false"/>
          <w:iCs w:val="false"/>
          <w:color w:val="2F2F2F"/>
          <w:sz w:val="20"/>
          <w:szCs w:val="20"/>
        </w:rPr>
        <w:t xml:space="preserve">Results-driven professional with extensive experience in residential real estate development, construction project management, and financial oversight. Currently managing a 24-lot residential subdivision through all phases of land development — including subdivision planning, permitting, builder coordination, and lot sales — with firsthand command of residential construction cost structures from the ground up. Built proprietary financial reconciliation software (WOACE.co) to track and manage construction accounting across multiple project phases. Combines deep operational understanding of residential development with the analytical discipline of a seasoned executive. Seeking contract estimating engagements where hands-on knowledge of residential construction processes, cost drivers, and builder coordination translates directly into accurate, audit-ready estimates.</w:t>
      </w:r>
    </w:p>
    <w:p>
      <w:pPr>
        <w:spacing w:after="40" w:before="240"/>
      </w:pPr>
      <w:r>
        <w:rPr>
          <w:rFonts w:ascii="Arial" w:cs="Arial" w:eastAsia="Arial" w:hAnsi="Arial"/>
          <w:b/>
          <w:bCs/>
          <w:caps/>
          <w:color w:val="1F4E79"/>
          <w:sz w:val="22"/>
          <w:szCs w:val="22"/>
        </w:rPr>
        <w:t xml:space="preserve">Core Estimating &amp; Construction Competencies</w:t>
      </w:r>
    </w:p>
    <w:p>
      <w:pPr>
        <w:pBdr>
          <w:bottom w:val="single" w:color="1F4E79" w:sz="8" w:space="1"/>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Residential Cost Estimating</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Subdivision &amp; Land Development</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Construction Budgeting &amp; Forecasting</w:t>
            </w:r>
          </w:p>
        </w:tc>
      </w:tr>
      <w:tr>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Builder &amp; Subcontractor Coordination</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Permitting &amp; Entitlements</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Take-Off &amp; Quantity Analysis</w:t>
            </w:r>
          </w:p>
        </w:tc>
      </w:tr>
      <w:tr>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Lot Sales &amp; Phasing Strategy</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Financial Reconciliation &amp; Audit-Ready Reporting</w:t>
            </w:r>
          </w:p>
        </w:tc>
        <w:tc>
          <w:tcPr>
            <w:tcW w:type="dxa" w:w="3360"/>
            <w:tcBorders>
              <w:top w:val="none" w:color="FFFFFF" w:sz="0"/>
              <w:left w:val="none" w:color="FFFFFF" w:sz="0"/>
              <w:bottom w:val="none" w:color="FFFFFF" w:sz="0"/>
              <w:right w:val="none" w:color="FFFFFF" w:sz="0"/>
            </w:tcBorders>
            <w:tcMar>
              <w:top w:type="dxa" w:w="40"/>
              <w:left w:type="dxa" w:w="80"/>
              <w:bottom w:type="dxa" w:w="40"/>
              <w:right w:type="dxa" w:w="80"/>
            </w:tcMar>
          </w:tcPr>
          <w:p>
            <w:pPr>
              <w:pStyle w:val="ListParagraph"/>
              <w:numPr>
                <w:ilvl w:val="0"/>
                <w:numId w:val="2"/>
              </w:numPr>
            </w:pPr>
            <w:r>
              <w:rPr>
                <w:rFonts w:ascii="Arial" w:cs="Arial" w:eastAsia="Arial" w:hAnsi="Arial"/>
                <w:color w:val="2F2F2F"/>
                <w:sz w:val="19"/>
                <w:szCs w:val="19"/>
              </w:rPr>
              <w:t xml:space="preserve">Contract Negotiation &amp; Deal Structuring</w:t>
            </w:r>
          </w:p>
        </w:tc>
      </w:tr>
    </w:tbl>
    <w:p>
      <w:pPr>
        <w:spacing w:after="40" w:before="240"/>
      </w:pPr>
      <w:r>
        <w:rPr>
          <w:rFonts w:ascii="Arial" w:cs="Arial" w:eastAsia="Arial" w:hAnsi="Arial"/>
          <w:b/>
          <w:bCs/>
          <w:caps/>
          <w:color w:val="1F4E79"/>
          <w:sz w:val="22"/>
          <w:szCs w:val="22"/>
        </w:rPr>
        <w:t xml:space="preserve">Relevant Experience</w:t>
      </w:r>
    </w:p>
    <w:p>
      <w:pPr>
        <w:pBdr>
          <w:bottom w:val="single" w:color="1F4E79" w:sz="8" w:space="1"/>
        </w:pBdr>
        <w:spacing w:after="80" w:before="0"/>
      </w:pPr>
    </w:p>
    <w:p>
      <w:pPr>
        <w:tabs>
          <w:tab w:val="right" w:pos="9360"/>
        </w:tabs>
        <w:spacing w:after="40" w:before="160"/>
      </w:pPr>
      <w:r>
        <w:rPr>
          <w:rFonts w:ascii="Arial" w:cs="Arial" w:eastAsia="Arial" w:hAnsi="Arial"/>
          <w:b/>
          <w:bCs/>
          <w:color w:val="2F2F2F"/>
          <w:sz w:val="21"/>
          <w:szCs w:val="21"/>
        </w:rPr>
        <w:t xml:space="preserve">Board Member / Development Manager</w:t>
      </w:r>
      <w:r>
        <w:rPr>
          <w:rFonts w:ascii="Arial" w:cs="Arial" w:eastAsia="Arial" w:hAnsi="Arial"/>
          <w:color w:val="555555"/>
          <w:sz w:val="21"/>
          <w:szCs w:val="21"/>
        </w:rPr>
        <w:t xml:space="preserve">  |  </w:t>
      </w:r>
      <w:r>
        <w:rPr>
          <w:rFonts w:ascii="Arial" w:cs="Arial" w:eastAsia="Arial" w:hAnsi="Arial"/>
          <w:i/>
          <w:iCs/>
          <w:color w:val="555555"/>
          <w:sz w:val="21"/>
          <w:szCs w:val="21"/>
        </w:rPr>
        <w:t xml:space="preserve">Renewal 1 Corporation / Rosewood One, LLC</w:t>
      </w:r>
      <w:r>
        <w:rPr>
          <w:rFonts w:ascii="Arial" w:cs="Arial" w:eastAsia="Arial" w:hAnsi="Arial"/>
          <w:sz w:val="20"/>
          <w:szCs w:val="20"/>
        </w:rPr>
        <w:t xml:space="preserve">	</w:t>
      </w:r>
      <w:r>
        <w:rPr>
          <w:rFonts w:ascii="Arial" w:cs="Arial" w:eastAsia="Arial" w:hAnsi="Arial"/>
          <w:i/>
          <w:iCs/>
          <w:color w:val="555555"/>
          <w:sz w:val="20"/>
          <w:szCs w:val="20"/>
        </w:rPr>
        <w:t xml:space="preserve">Present</w:t>
      </w:r>
    </w:p>
    <w:p>
      <w:pPr>
        <w:spacing w:after="40" w:before="40"/>
        <w:jc w:val="left"/>
      </w:pPr>
      <w:r>
        <w:rPr>
          <w:rFonts w:ascii="Arial" w:cs="Arial" w:eastAsia="Arial" w:hAnsi="Arial"/>
          <w:b w:val="false"/>
          <w:bCs w:val="false"/>
          <w:i w:val="false"/>
          <w:iCs w:val="false"/>
          <w:color w:val="2F2F2F"/>
          <w:sz w:val="20"/>
          <w:szCs w:val="20"/>
        </w:rPr>
        <w:t xml:space="preserve">Lead all development operations for a 24-lot residential subdivision across multiple build phases, managing the full construction development lifecycle from raw land to finished lots.</w:t>
      </w:r>
    </w:p>
    <w:p>
      <w:pPr>
        <w:pStyle w:val="ListParagraph"/>
        <w:numPr>
          <w:ilvl w:val="0"/>
          <w:numId w:val="2"/>
        </w:numPr>
        <w:spacing w:after="40" w:before="40"/>
      </w:pPr>
      <w:r>
        <w:rPr>
          <w:rFonts w:ascii="Arial" w:cs="Arial" w:eastAsia="Arial" w:hAnsi="Arial"/>
          <w:color w:val="2F2F2F"/>
          <w:sz w:val="20"/>
          <w:szCs w:val="20"/>
        </w:rPr>
        <w:t xml:space="preserve">Oversee all phases of residential subdivision development including site planning, permitting, grading, utility coordination, and lot sales — providing direct exposure to residential construction cost components at every stage.</w:t>
      </w:r>
    </w:p>
    <w:p>
      <w:pPr>
        <w:pStyle w:val="ListParagraph"/>
        <w:numPr>
          <w:ilvl w:val="0"/>
          <w:numId w:val="2"/>
        </w:numPr>
        <w:spacing w:after="40" w:before="40"/>
      </w:pPr>
      <w:r>
        <w:rPr>
          <w:rFonts w:ascii="Arial" w:cs="Arial" w:eastAsia="Arial" w:hAnsi="Arial"/>
          <w:color w:val="2F2F2F"/>
          <w:sz w:val="20"/>
          <w:szCs w:val="20"/>
        </w:rPr>
        <w:t xml:space="preserve">Coordinate directly with builders, subcontractors, civil engineers, and local permitting authorities; manage scheduling and sequencing across active construction phases.</w:t>
      </w:r>
    </w:p>
    <w:p>
      <w:pPr>
        <w:pStyle w:val="ListParagraph"/>
        <w:numPr>
          <w:ilvl w:val="0"/>
          <w:numId w:val="2"/>
        </w:numPr>
        <w:spacing w:after="40" w:before="40"/>
      </w:pPr>
      <w:r>
        <w:rPr>
          <w:rFonts w:ascii="Arial" w:cs="Arial" w:eastAsia="Arial" w:hAnsi="Arial"/>
          <w:color w:val="2F2F2F"/>
          <w:sz w:val="20"/>
          <w:szCs w:val="20"/>
        </w:rPr>
        <w:t xml:space="preserve">Develop and maintain detailed development budgets, cost tracking, and financial reconciliation reports — ensuring accurate accounting of all hard and soft costs across the project.</w:t>
      </w:r>
    </w:p>
    <w:p>
      <w:pPr>
        <w:pStyle w:val="ListParagraph"/>
        <w:numPr>
          <w:ilvl w:val="0"/>
          <w:numId w:val="2"/>
        </w:numPr>
        <w:spacing w:after="40" w:before="40"/>
      </w:pPr>
      <w:r>
        <w:rPr>
          <w:rFonts w:ascii="Arial" w:cs="Arial" w:eastAsia="Arial" w:hAnsi="Arial"/>
          <w:color w:val="2F2F2F"/>
          <w:sz w:val="20"/>
          <w:szCs w:val="20"/>
        </w:rPr>
        <w:t xml:space="preserve">Built WOACE.co — proprietary real estate accounting software — specifically to manage construction financials, lot-level cost allocation, and audit-ready reporting for the Rosewood Lane development and future projects.</w:t>
      </w:r>
    </w:p>
    <w:p>
      <w:pPr>
        <w:pStyle w:val="ListParagraph"/>
        <w:numPr>
          <w:ilvl w:val="0"/>
          <w:numId w:val="2"/>
        </w:numPr>
        <w:spacing w:after="40" w:before="40"/>
      </w:pPr>
      <w:r>
        <w:rPr>
          <w:rFonts w:ascii="Arial" w:cs="Arial" w:eastAsia="Arial" w:hAnsi="Arial"/>
          <w:color w:val="2F2F2F"/>
          <w:sz w:val="20"/>
          <w:szCs w:val="20"/>
        </w:rPr>
        <w:t xml:space="preserve">Deep understanding of residential land economics: acquisition costs, entitlement expenses, horizontal infrastructure costs, and the financial relationship between land value and finished home value.</w:t>
      </w:r>
    </w:p>
    <w:p>
      <w:pPr>
        <w:pStyle w:val="ListParagraph"/>
        <w:numPr>
          <w:ilvl w:val="0"/>
          <w:numId w:val="2"/>
        </w:numPr>
        <w:spacing w:after="40" w:before="40"/>
      </w:pPr>
      <w:r>
        <w:rPr>
          <w:rFonts w:ascii="Arial" w:cs="Arial" w:eastAsia="Arial" w:hAnsi="Arial"/>
          <w:color w:val="2F2F2F"/>
          <w:sz w:val="20"/>
          <w:szCs w:val="20"/>
        </w:rPr>
        <w:t xml:space="preserve">Manage lot sales coordination with homebuilders, including pricing negotiations and purchase agreement structuring.</w:t>
      </w:r>
    </w:p>
    <w:p>
      <w:pPr>
        <w:tabs>
          <w:tab w:val="right" w:pos="9360"/>
        </w:tabs>
        <w:spacing w:after="40" w:before="160"/>
      </w:pPr>
      <w:r>
        <w:rPr>
          <w:rFonts w:ascii="Arial" w:cs="Arial" w:eastAsia="Arial" w:hAnsi="Arial"/>
          <w:b/>
          <w:bCs/>
          <w:color w:val="2F2F2F"/>
          <w:sz w:val="21"/>
          <w:szCs w:val="21"/>
        </w:rPr>
        <w:t xml:space="preserve">Founder &amp; CEO</w:t>
      </w:r>
      <w:r>
        <w:rPr>
          <w:rFonts w:ascii="Arial" w:cs="Arial" w:eastAsia="Arial" w:hAnsi="Arial"/>
          <w:color w:val="555555"/>
          <w:sz w:val="21"/>
          <w:szCs w:val="21"/>
        </w:rPr>
        <w:t xml:space="preserve">  |  </w:t>
      </w:r>
      <w:r>
        <w:rPr>
          <w:rFonts w:ascii="Arial" w:cs="Arial" w:eastAsia="Arial" w:hAnsi="Arial"/>
          <w:i/>
          <w:iCs/>
          <w:color w:val="555555"/>
          <w:sz w:val="21"/>
          <w:szCs w:val="21"/>
        </w:rPr>
        <w:t xml:space="preserve">Unified Communications Corporation</w:t>
      </w:r>
      <w:r>
        <w:rPr>
          <w:rFonts w:ascii="Arial" w:cs="Arial" w:eastAsia="Arial" w:hAnsi="Arial"/>
          <w:sz w:val="20"/>
          <w:szCs w:val="20"/>
        </w:rPr>
        <w:t xml:space="preserve">	</w:t>
      </w:r>
      <w:r>
        <w:rPr>
          <w:rFonts w:ascii="Arial" w:cs="Arial" w:eastAsia="Arial" w:hAnsi="Arial"/>
          <w:i/>
          <w:iCs/>
          <w:color w:val="555555"/>
          <w:sz w:val="20"/>
          <w:szCs w:val="20"/>
        </w:rPr>
        <w:t xml:space="preserve">2005 – 2015</w:t>
      </w:r>
    </w:p>
    <w:p>
      <w:pPr>
        <w:spacing w:after="40" w:before="40"/>
        <w:jc w:val="left"/>
      </w:pPr>
      <w:r>
        <w:rPr>
          <w:rFonts w:ascii="Arial" w:cs="Arial" w:eastAsia="Arial" w:hAnsi="Arial"/>
          <w:b w:val="false"/>
          <w:bCs w:val="false"/>
          <w:i w:val="false"/>
          <w:iCs w:val="false"/>
          <w:color w:val="2F2F2F"/>
          <w:sz w:val="20"/>
          <w:szCs w:val="20"/>
        </w:rPr>
        <w:t xml:space="preserve">While primarily a telecom company, UCC's operations required continuous facility and infrastructure capital planning — including acquisition, build-out, and decommissioning of more than a dozen data center and ISP facilities across the United States.</w:t>
      </w:r>
    </w:p>
    <w:p>
      <w:pPr>
        <w:pStyle w:val="ListParagraph"/>
        <w:numPr>
          <w:ilvl w:val="0"/>
          <w:numId w:val="2"/>
        </w:numPr>
        <w:spacing w:after="40" w:before="40"/>
      </w:pPr>
      <w:r>
        <w:rPr>
          <w:rFonts w:ascii="Arial" w:cs="Arial" w:eastAsia="Arial" w:hAnsi="Arial"/>
          <w:color w:val="2F2F2F"/>
          <w:sz w:val="20"/>
          <w:szCs w:val="20"/>
        </w:rPr>
        <w:t xml:space="preserve">Managed capital project planning and budgeting for physical infrastructure across a nationally distributed facility portfolio, requiring systematic cost estimation, vendor negotiation, and project oversight.</w:t>
      </w:r>
    </w:p>
    <w:p>
      <w:pPr>
        <w:pStyle w:val="ListParagraph"/>
        <w:numPr>
          <w:ilvl w:val="0"/>
          <w:numId w:val="2"/>
        </w:numPr>
        <w:spacing w:after="40" w:before="40"/>
      </w:pPr>
      <w:r>
        <w:rPr>
          <w:rFonts w:ascii="Arial" w:cs="Arial" w:eastAsia="Arial" w:hAnsi="Arial"/>
          <w:color w:val="2F2F2F"/>
          <w:sz w:val="20"/>
          <w:szCs w:val="20"/>
        </w:rPr>
        <w:t xml:space="preserve">Led complex multi-party asset acquisitions under time pressure, requiring rapid assessment of facility conditions, remaining useful life, and cost-to-complete across inherited infrastructure.</w:t>
      </w:r>
    </w:p>
    <w:p>
      <w:pPr>
        <w:pStyle w:val="ListParagraph"/>
        <w:numPr>
          <w:ilvl w:val="0"/>
          <w:numId w:val="2"/>
        </w:numPr>
        <w:spacing w:after="40" w:before="40"/>
      </w:pPr>
      <w:r>
        <w:rPr>
          <w:rFonts w:ascii="Arial" w:cs="Arial" w:eastAsia="Arial" w:hAnsi="Arial"/>
          <w:color w:val="2F2F2F"/>
          <w:sz w:val="20"/>
          <w:szCs w:val="20"/>
        </w:rPr>
        <w:t xml:space="preserve">Developed operational cost models and financial reconciliation processes to track actual versus projected spend across a large, geographically dispersed asset base.</w:t>
      </w:r>
    </w:p>
    <w:p>
      <w:pPr>
        <w:spacing w:after="40" w:before="240"/>
      </w:pPr>
      <w:r>
        <w:rPr>
          <w:rFonts w:ascii="Arial" w:cs="Arial" w:eastAsia="Arial" w:hAnsi="Arial"/>
          <w:b/>
          <w:bCs/>
          <w:caps/>
          <w:color w:val="1F4E79"/>
          <w:sz w:val="22"/>
          <w:szCs w:val="22"/>
        </w:rPr>
        <w:t xml:space="preserve">Technical Skills Relevant to Estimating</w:t>
      </w:r>
    </w:p>
    <w:p>
      <w:pPr>
        <w:pBdr>
          <w:bottom w:val="single" w:color="1F4E79" w:sz="8" w:space="1"/>
        </w:pBdr>
        <w:spacing w:after="80" w:before="0"/>
      </w:pPr>
    </w:p>
    <w:p>
      <w:pPr>
        <w:pStyle w:val="ListParagraph"/>
        <w:numPr>
          <w:ilvl w:val="0"/>
          <w:numId w:val="2"/>
        </w:numPr>
        <w:spacing w:after="40" w:before="40"/>
      </w:pPr>
      <w:r>
        <w:rPr>
          <w:rFonts w:ascii="Arial" w:cs="Arial" w:eastAsia="Arial" w:hAnsi="Arial"/>
          <w:color w:val="2F2F2F"/>
          <w:sz w:val="20"/>
          <w:szCs w:val="20"/>
        </w:rPr>
        <w:t xml:space="preserve">Proficient in financial modeling, cost analysis, and spreadsheet-based estimating workflows (Excel, custom tools).</w:t>
      </w:r>
    </w:p>
    <w:p>
      <w:pPr>
        <w:pStyle w:val="ListParagraph"/>
        <w:numPr>
          <w:ilvl w:val="0"/>
          <w:numId w:val="2"/>
        </w:numPr>
        <w:spacing w:after="40" w:before="40"/>
      </w:pPr>
      <w:r>
        <w:rPr>
          <w:rFonts w:ascii="Arial" w:cs="Arial" w:eastAsia="Arial" w:hAnsi="Arial"/>
          <w:color w:val="2F2F2F"/>
          <w:sz w:val="20"/>
          <w:szCs w:val="20"/>
        </w:rPr>
        <w:t xml:space="preserve">Built WOACE.co — a proprietary construction accounting and financial reconciliation platform — demonstrating deep familiarity with the data requirements of residential construction cost tracking.</w:t>
      </w:r>
    </w:p>
    <w:p>
      <w:pPr>
        <w:pStyle w:val="ListParagraph"/>
        <w:numPr>
          <w:ilvl w:val="0"/>
          <w:numId w:val="2"/>
        </w:numPr>
        <w:spacing w:after="40" w:before="40"/>
      </w:pPr>
      <w:r>
        <w:rPr>
          <w:rFonts w:ascii="Arial" w:cs="Arial" w:eastAsia="Arial" w:hAnsi="Arial"/>
          <w:color w:val="2F2F2F"/>
          <w:sz w:val="20"/>
          <w:szCs w:val="20"/>
        </w:rPr>
        <w:t xml:space="preserve">Skilled in documentation, reporting, and producing audit-ready deliverables.</w:t>
      </w:r>
    </w:p>
    <w:p>
      <w:pPr>
        <w:pStyle w:val="ListParagraph"/>
        <w:numPr>
          <w:ilvl w:val="0"/>
          <w:numId w:val="2"/>
        </w:numPr>
        <w:spacing w:after="40" w:before="40"/>
      </w:pPr>
      <w:r>
        <w:rPr>
          <w:rFonts w:ascii="Arial" w:cs="Arial" w:eastAsia="Arial" w:hAnsi="Arial"/>
          <w:color w:val="2F2F2F"/>
          <w:sz w:val="20"/>
          <w:szCs w:val="20"/>
        </w:rPr>
        <w:t xml:space="preserve">Experienced with project management workflows, phased scheduling, and coordinating across multiple stakeholders simultaneously.</w:t>
      </w:r>
    </w:p>
    <w:p>
      <w:pPr>
        <w:spacing w:after="40" w:before="240"/>
      </w:pPr>
      <w:r>
        <w:rPr>
          <w:rFonts w:ascii="Arial" w:cs="Arial" w:eastAsia="Arial" w:hAnsi="Arial"/>
          <w:b/>
          <w:bCs/>
          <w:caps/>
          <w:color w:val="1F4E79"/>
          <w:sz w:val="22"/>
          <w:szCs w:val="22"/>
        </w:rPr>
        <w:t xml:space="preserve">Residential Construction &amp; Development Knowledge</w:t>
      </w:r>
    </w:p>
    <w:p>
      <w:pPr>
        <w:pBdr>
          <w:bottom w:val="single" w:color="1F4E79" w:sz="8" w:space="1"/>
        </w:pBdr>
        <w:spacing w:after="80" w:before="0"/>
      </w:pPr>
    </w:p>
    <w:p>
      <w:pPr>
        <w:pStyle w:val="ListParagraph"/>
        <w:numPr>
          <w:ilvl w:val="0"/>
          <w:numId w:val="2"/>
        </w:numPr>
        <w:spacing w:after="40" w:before="40"/>
      </w:pPr>
      <w:r>
        <w:rPr>
          <w:rFonts w:ascii="Arial" w:cs="Arial" w:eastAsia="Arial" w:hAnsi="Arial"/>
          <w:color w:val="2F2F2F"/>
          <w:sz w:val="20"/>
          <w:szCs w:val="20"/>
        </w:rPr>
        <w:t xml:space="preserve">Subdivision planning and phasing — lot layout, grading, utilities, roads, and final plat.</w:t>
      </w:r>
    </w:p>
    <w:p>
      <w:pPr>
        <w:pStyle w:val="ListParagraph"/>
        <w:numPr>
          <w:ilvl w:val="0"/>
          <w:numId w:val="2"/>
        </w:numPr>
        <w:spacing w:after="40" w:before="40"/>
      </w:pPr>
      <w:r>
        <w:rPr>
          <w:rFonts w:ascii="Arial" w:cs="Arial" w:eastAsia="Arial" w:hAnsi="Arial"/>
          <w:color w:val="2F2F2F"/>
          <w:sz w:val="20"/>
          <w:szCs w:val="20"/>
        </w:rPr>
        <w:t xml:space="preserve">Horizontal construction cost components: earthwork/grading, stormwater management, underground utilities (water, sewer, gas, electric), road base, and paving.</w:t>
      </w:r>
    </w:p>
    <w:p>
      <w:pPr>
        <w:pStyle w:val="ListParagraph"/>
        <w:numPr>
          <w:ilvl w:val="0"/>
          <w:numId w:val="2"/>
        </w:numPr>
        <w:spacing w:after="40" w:before="40"/>
      </w:pPr>
      <w:r>
        <w:rPr>
          <w:rFonts w:ascii="Arial" w:cs="Arial" w:eastAsia="Arial" w:hAnsi="Arial"/>
          <w:color w:val="2F2F2F"/>
          <w:sz w:val="20"/>
          <w:szCs w:val="20"/>
        </w:rPr>
        <w:t xml:space="preserve">Vertical construction coordination with production and custom homebuilders — understanding builder cost structures, standard spec packages, and allowance-based estimating.</w:t>
      </w:r>
    </w:p>
    <w:p>
      <w:pPr>
        <w:pStyle w:val="ListParagraph"/>
        <w:numPr>
          <w:ilvl w:val="0"/>
          <w:numId w:val="2"/>
        </w:numPr>
        <w:spacing w:after="40" w:before="40"/>
      </w:pPr>
      <w:r>
        <w:rPr>
          <w:rFonts w:ascii="Arial" w:cs="Arial" w:eastAsia="Arial" w:hAnsi="Arial"/>
          <w:color w:val="2F2F2F"/>
          <w:sz w:val="20"/>
          <w:szCs w:val="20"/>
        </w:rPr>
        <w:t xml:space="preserve">Permitting processes, inspection timelines, and municipality requirements that affect project scheduling and cost.</w:t>
      </w:r>
    </w:p>
    <w:p>
      <w:pPr>
        <w:pStyle w:val="ListParagraph"/>
        <w:numPr>
          <w:ilvl w:val="0"/>
          <w:numId w:val="2"/>
        </w:numPr>
        <w:spacing w:after="40" w:before="40"/>
      </w:pPr>
      <w:r>
        <w:rPr>
          <w:rFonts w:ascii="Arial" w:cs="Arial" w:eastAsia="Arial" w:hAnsi="Arial"/>
          <w:color w:val="2F2F2F"/>
          <w:sz w:val="20"/>
          <w:szCs w:val="20"/>
        </w:rPr>
        <w:t xml:space="preserve">Firsthand experience with the financial structure of residential development: lot costs, development fees, builder contracts, and phased revenue recognition.</w:t>
      </w:r>
    </w:p>
    <w:p>
      <w:pPr>
        <w:pStyle w:val="ListParagraph"/>
        <w:numPr>
          <w:ilvl w:val="0"/>
          <w:numId w:val="2"/>
        </w:numPr>
        <w:spacing w:after="40" w:before="40"/>
      </w:pPr>
      <w:r>
        <w:rPr>
          <w:rFonts w:ascii="Arial" w:cs="Arial" w:eastAsia="Arial" w:hAnsi="Arial"/>
          <w:color w:val="2F2F2F"/>
          <w:sz w:val="20"/>
          <w:szCs w:val="20"/>
        </w:rPr>
        <w:t xml:space="preserve">Personally managed the estimation and construction of multiple single-family spec homes built and sold over a 38-year span — providing ground-level understanding of residential construction costs, sequencing, and contractor management from foundation to close of sale.</w:t>
      </w:r>
    </w:p>
    <w:p>
      <w:pPr>
        <w:spacing w:after="40" w:before="240"/>
      </w:pPr>
      <w:r>
        <w:rPr>
          <w:rFonts w:ascii="Arial" w:cs="Arial" w:eastAsia="Arial" w:hAnsi="Arial"/>
          <w:b/>
          <w:bCs/>
          <w:caps/>
          <w:color w:val="1F4E79"/>
          <w:sz w:val="22"/>
          <w:szCs w:val="22"/>
        </w:rPr>
        <w:t xml:space="preserve">Education &amp; Professional Development</w:t>
      </w:r>
    </w:p>
    <w:p>
      <w:pPr>
        <w:pBdr>
          <w:bottom w:val="single" w:color="1F4E79" w:sz="8" w:space="1"/>
        </w:pBdr>
        <w:spacing w:after="80" w:before="0"/>
      </w:pPr>
    </w:p>
    <w:p>
      <w:pPr>
        <w:spacing w:after="20" w:before="40"/>
        <w:jc w:val="left"/>
      </w:pPr>
      <w:r>
        <w:rPr>
          <w:rFonts w:ascii="Arial" w:cs="Arial" w:eastAsia="Arial" w:hAnsi="Arial"/>
          <w:b w:val="false"/>
          <w:bCs w:val="false"/>
          <w:i w:val="false"/>
          <w:iCs w:val="false"/>
          <w:color w:val="2F2F2F"/>
          <w:sz w:val="20"/>
          <w:szCs w:val="20"/>
        </w:rPr>
        <w:t xml:space="preserve">Community College of the Air Force — Coursework completed in service of the United States Air Force.</w:t>
      </w:r>
    </w:p>
    <w:p>
      <w:pPr>
        <w:spacing w:after="20" w:before="0"/>
        <w:jc w:val="left"/>
      </w:pPr>
      <w:r>
        <w:rPr>
          <w:rFonts w:ascii="Arial" w:cs="Arial" w:eastAsia="Arial" w:hAnsi="Arial"/>
          <w:b w:val="false"/>
          <w:bCs w:val="false"/>
          <w:i w:val="false"/>
          <w:iCs w:val="false"/>
          <w:color w:val="2F2F2F"/>
          <w:sz w:val="20"/>
          <w:szCs w:val="20"/>
        </w:rPr>
        <w:t xml:space="preserve">25+ years of hands-on executive and operational experience across technology, telecom, and real estate development industries.</w:t>
      </w:r>
    </w:p>
    <w:p>
      <w:pPr>
        <w:spacing w:after="60" w:before="0"/>
        <w:jc w:val="left"/>
      </w:pPr>
      <w:r>
        <w:rPr>
          <w:rFonts w:ascii="Arial" w:cs="Arial" w:eastAsia="Arial" w:hAnsi="Arial"/>
          <w:b w:val="false"/>
          <w:bCs w:val="false"/>
          <w:i w:val="false"/>
          <w:iCs w:val="false"/>
          <w:color w:val="2F2F2F"/>
          <w:sz w:val="20"/>
          <w:szCs w:val="20"/>
        </w:rPr>
        <w:t xml:space="preserve">Continuous self-directed development in construction financial management, project accounting, and residential development operations.</w:t>
      </w:r>
    </w:p>
    <w:p>
      <w:pPr>
        <w:spacing w:after="40" w:before="240"/>
      </w:pPr>
      <w:r>
        <w:rPr>
          <w:rFonts w:ascii="Arial" w:cs="Arial" w:eastAsia="Arial" w:hAnsi="Arial"/>
          <w:b/>
          <w:bCs/>
          <w:caps/>
          <w:color w:val="1F4E79"/>
          <w:sz w:val="22"/>
          <w:szCs w:val="22"/>
        </w:rPr>
        <w:t xml:space="preserve">Availability &amp; Work Preferences</w:t>
      </w:r>
    </w:p>
    <w:p>
      <w:pPr>
        <w:pBdr>
          <w:bottom w:val="single" w:color="1F4E79" w:sz="8" w:space="1"/>
        </w:pBdr>
        <w:spacing w:after="80" w:before="0"/>
      </w:pPr>
    </w:p>
    <w:p>
      <w:pPr>
        <w:pStyle w:val="ListParagraph"/>
        <w:numPr>
          <w:ilvl w:val="0"/>
          <w:numId w:val="2"/>
        </w:numPr>
        <w:spacing w:after="40" w:before="40"/>
      </w:pPr>
      <w:r>
        <w:rPr>
          <w:rFonts w:ascii="Arial" w:cs="Arial" w:eastAsia="Arial" w:hAnsi="Arial"/>
          <w:color w:val="2F2F2F"/>
          <w:sz w:val="20"/>
          <w:szCs w:val="20"/>
        </w:rPr>
        <w:t xml:space="preserve">Available for remote contract estimating work — per-project, part-time, or ongoing arrangements.</w:t>
      </w:r>
    </w:p>
    <w:p>
      <w:pPr>
        <w:pStyle w:val="ListParagraph"/>
        <w:numPr>
          <w:ilvl w:val="0"/>
          <w:numId w:val="2"/>
        </w:numPr>
        <w:spacing w:after="40" w:before="40"/>
      </w:pPr>
      <w:r>
        <w:rPr>
          <w:rFonts w:ascii="Arial" w:cs="Arial" w:eastAsia="Arial" w:hAnsi="Arial"/>
          <w:color w:val="2F2F2F"/>
          <w:sz w:val="20"/>
          <w:szCs w:val="20"/>
        </w:rPr>
        <w:t xml:space="preserve">Open to working with residential builders, developers, and construction firms across the entire United States.</w:t>
      </w:r>
    </w:p>
    <w:p>
      <w:pPr>
        <w:pStyle w:val="ListParagraph"/>
        <w:numPr>
          <w:ilvl w:val="0"/>
          <w:numId w:val="2"/>
        </w:numPr>
        <w:spacing w:after="40" w:before="40"/>
      </w:pPr>
      <w:r>
        <w:rPr>
          <w:rFonts w:ascii="Arial" w:cs="Arial" w:eastAsia="Arial" w:hAnsi="Arial"/>
          <w:color w:val="2F2F2F"/>
          <w:sz w:val="20"/>
          <w:szCs w:val="20"/>
        </w:rPr>
        <w:t xml:space="preserve">Open to travel as necessary to support project needs.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2026-04-10T13:57:55.564Z</dcterms:created>
  <dcterms:modified xsi:type="dcterms:W3CDTF">2026-04-10T13:57:55.565Z</dcterms:modified>
</cp:coreProperties>
</file>

<file path=docProps/custom.xml><?xml version="1.0" encoding="utf-8"?>
<Properties xmlns="http://schemas.openxmlformats.org/officeDocument/2006/custom-properties" xmlns:vt="http://schemas.openxmlformats.org/officeDocument/2006/docPropsVTypes"/>
</file>