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A0E7" w14:textId="77777777" w:rsidR="00727F41" w:rsidRDefault="00485E89">
      <w:pPr>
        <w:pStyle w:val="aa"/>
        <w:spacing w:after="120"/>
        <w:ind w:firstLine="0"/>
        <w:jc w:val="center"/>
      </w:pPr>
      <w:r>
        <w:t>分析化学中的可信智能分析</w:t>
      </w:r>
    </w:p>
    <w:p w14:paraId="239193B7" w14:textId="77777777" w:rsidR="00727F41" w:rsidRDefault="00485E89">
      <w:pPr>
        <w:pStyle w:val="ac"/>
        <w:spacing w:after="200"/>
        <w:ind w:firstLine="0"/>
        <w:jc w:val="center"/>
      </w:pPr>
      <w:r>
        <w:t>不确定度</w:t>
      </w:r>
      <w:r>
        <w:t xml:space="preserve"> </w:t>
      </w:r>
      <w:r>
        <w:t>适用域与因果机制</w:t>
      </w:r>
    </w:p>
    <w:p w14:paraId="22DC8622" w14:textId="77777777" w:rsidR="00727F41" w:rsidRDefault="00485E89">
      <w:pPr>
        <w:spacing w:after="240"/>
        <w:ind w:firstLine="0"/>
        <w:jc w:val="center"/>
      </w:pPr>
      <w:r>
        <w:t>刘翔</w:t>
      </w:r>
      <w:r>
        <w:t xml:space="preserve"> </w:t>
      </w:r>
      <w:r>
        <w:t>尹伟旭</w:t>
      </w:r>
      <w:r>
        <w:t xml:space="preserve"> </w:t>
      </w:r>
      <w:r>
        <w:t>王怡可</w:t>
      </w:r>
      <w:r>
        <w:t xml:space="preserve"> </w:t>
      </w:r>
      <w:r>
        <w:t>王磊</w:t>
      </w:r>
      <w:r>
        <w:t xml:space="preserve"> </w:t>
      </w:r>
      <w:r>
        <w:t>周裕东</w:t>
      </w:r>
      <w:r>
        <w:t xml:space="preserve"> </w:t>
      </w:r>
      <w:r>
        <w:t>曾凡琦</w:t>
      </w:r>
    </w:p>
    <w:p w14:paraId="0112981A" w14:textId="77777777" w:rsidR="00727F41" w:rsidRDefault="00485E89">
      <w:pPr>
        <w:pStyle w:val="1"/>
      </w:pPr>
      <w:bookmarkStart w:id="0" w:name="_Toc244165132"/>
      <w:r>
        <w:t>摘要</w:t>
      </w:r>
      <w:bookmarkEnd w:id="0"/>
    </w:p>
    <w:p w14:paraId="4161D771" w14:textId="77777777" w:rsidR="00727F41" w:rsidRDefault="00485E89">
      <w:pPr>
        <w:jc w:val="both"/>
      </w:pPr>
      <w:r>
        <w:t>人工智能可用于光谱识别和化学性质预测，其可靠性还取决于数据质量、概率表达和使用范围。本文结合分析方法验证与机器学习研究，梳理不确定度、概率校准、共形预测、适用域和因果解释的条件，并实施公开拉曼谱库的可复核教学实验。先导标签审计发现来源分类与理想化学式冲突，随后排除全部</w:t>
      </w:r>
      <w:r>
        <w:t>340</w:t>
      </w:r>
      <w:r>
        <w:t>个先导编号，以新选</w:t>
      </w:r>
      <w:r>
        <w:t>280</w:t>
      </w:r>
      <w:r>
        <w:t>个编号构建明确的化学式基团规则任务。主实验在</w:t>
      </w:r>
      <w:r>
        <w:t>36</w:t>
      </w:r>
      <w:r>
        <w:t>个已知测试样品上准确率为</w:t>
      </w:r>
      <w:r>
        <w:t>61.1%</w:t>
      </w:r>
      <w:r>
        <w:t>；温度缩放保持类别判断不变，负对数似然从</w:t>
      </w:r>
      <w:r>
        <w:t>1.566</w:t>
      </w:r>
      <w:r>
        <w:t>降至</w:t>
      </w:r>
      <w:r>
        <w:t>1.295</w:t>
      </w:r>
      <w:r>
        <w:t>。预设</w:t>
      </w:r>
      <w:r>
        <w:t>T²</w:t>
      </w:r>
      <w:r>
        <w:t>与</w:t>
      </w:r>
      <w:r>
        <w:t>Q</w:t>
      </w:r>
      <w:r>
        <w:t>联合拒识规则接受</w:t>
      </w:r>
      <w:r>
        <w:t>34</w:t>
      </w:r>
      <w:r>
        <w:t>个已知测试样品，其中</w:t>
      </w:r>
      <w:r>
        <w:t>13</w:t>
      </w:r>
      <w:r>
        <w:t>个错误，同时接受</w:t>
      </w:r>
      <w:r>
        <w:t>100</w:t>
      </w:r>
      <w:r>
        <w:t>个留出未知材料中的</w:t>
      </w:r>
      <w:r>
        <w:t>81</w:t>
      </w:r>
      <w:r>
        <w:t>个。结果说明，概率质量改善与未知材料识别需分别检验，参考标签也需要接受化学核查。本文提供方法比较、逐样品结果、代码、练习及离线交互模块，形成可以追溯的数据与验证记录；证据范围限于该规则任务，尚无跨仪器外部验证。</w:t>
      </w:r>
    </w:p>
    <w:p w14:paraId="6192D428" w14:textId="77777777" w:rsidR="00727F41" w:rsidRDefault="00485E89">
      <w:pPr>
        <w:ind w:firstLine="0"/>
        <w:jc w:val="both"/>
      </w:pPr>
      <w:r>
        <w:t>关键词：智能分析化学；测量不确定度；概率校准；共形预测；适用域；因果推断</w:t>
      </w:r>
    </w:p>
    <w:p w14:paraId="58E1DA1F" w14:textId="77777777" w:rsidR="00727F41" w:rsidRDefault="00485E89">
      <w:pPr>
        <w:pStyle w:val="ContentsTitle"/>
        <w:pageBreakBefore/>
        <w:jc w:val="center"/>
      </w:pPr>
      <w:r>
        <w:lastRenderedPageBreak/>
        <w:t>目录</w:t>
      </w:r>
    </w:p>
    <w:p w14:paraId="39567F67" w14:textId="44AB514D"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r>
        <w:fldChar w:fldCharType="begin"/>
      </w:r>
      <w:r>
        <w:instrText xml:space="preserve"> TOC \o "1-2" \h \z \n "1-1" </w:instrText>
      </w:r>
      <w:r>
        <w:fldChar w:fldCharType="separate"/>
      </w:r>
      <w:hyperlink w:anchor="_Toc244165132" w:history="1">
        <w:r w:rsidRPr="0049045E">
          <w:rPr>
            <w:rStyle w:val="aff9"/>
            <w:rFonts w:hint="eastAsia"/>
            <w:noProof/>
          </w:rPr>
          <w:t>摘要</w:t>
        </w:r>
      </w:hyperlink>
    </w:p>
    <w:p w14:paraId="4662551B" w14:textId="6606AD5D"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33" w:history="1">
        <w:r w:rsidRPr="0049045E">
          <w:rPr>
            <w:rStyle w:val="aff9"/>
            <w:rFonts w:hint="eastAsia"/>
            <w:noProof/>
          </w:rPr>
          <w:t>一、引言</w:t>
        </w:r>
      </w:hyperlink>
    </w:p>
    <w:p w14:paraId="4567B99C" w14:textId="3A0E12DD"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34" w:history="1">
        <w:r w:rsidRPr="0049045E">
          <w:rPr>
            <w:rStyle w:val="aff9"/>
            <w:rFonts w:hint="eastAsia"/>
            <w:noProof/>
          </w:rPr>
          <w:t xml:space="preserve">1.1 </w:t>
        </w:r>
        <w:r w:rsidRPr="0049045E">
          <w:rPr>
            <w:rStyle w:val="aff9"/>
            <w:rFonts w:hint="eastAsia"/>
            <w:noProof/>
          </w:rPr>
          <w:t>智能分析的应用与可靠性问题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_Toc244165134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3</w:t>
        </w:r>
        <w:r>
          <w:rPr>
            <w:rFonts w:hint="eastAsia"/>
            <w:noProof/>
            <w:webHidden/>
          </w:rPr>
          <w:fldChar w:fldCharType="end"/>
        </w:r>
      </w:hyperlink>
    </w:p>
    <w:p w14:paraId="3748767B" w14:textId="6195AAAF"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35" w:history="1">
        <w:r w:rsidRPr="0049045E">
          <w:rPr>
            <w:rStyle w:val="aff9"/>
            <w:rFonts w:hint="eastAsia"/>
            <w:noProof/>
          </w:rPr>
          <w:t xml:space="preserve">1.2 </w:t>
        </w:r>
        <w:r w:rsidRPr="0049045E">
          <w:rPr>
            <w:rStyle w:val="aff9"/>
            <w:rFonts w:hint="eastAsia"/>
            <w:noProof/>
          </w:rPr>
          <w:t>可信智能分析的研究范围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_Toc244165135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3</w:t>
        </w:r>
        <w:r>
          <w:rPr>
            <w:rFonts w:hint="eastAsia"/>
            <w:noProof/>
            <w:webHidden/>
          </w:rPr>
          <w:fldChar w:fldCharType="end"/>
        </w:r>
      </w:hyperlink>
    </w:p>
    <w:p w14:paraId="71F61A3B" w14:textId="3BABAC92"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36" w:history="1">
        <w:r w:rsidRPr="0049045E">
          <w:rPr>
            <w:rStyle w:val="aff9"/>
            <w:rFonts w:hint="eastAsia"/>
            <w:noProof/>
          </w:rPr>
          <w:t>二、智能分析预测的不确定度</w:t>
        </w:r>
      </w:hyperlink>
    </w:p>
    <w:p w14:paraId="09594991" w14:textId="100270C3"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37" w:history="1">
        <w:r w:rsidRPr="0049045E">
          <w:rPr>
            <w:rStyle w:val="aff9"/>
            <w:rFonts w:hint="eastAsia"/>
            <w:noProof/>
          </w:rPr>
          <w:t xml:space="preserve">2.1 </w:t>
        </w:r>
        <w:r w:rsidRPr="0049045E">
          <w:rPr>
            <w:rStyle w:val="aff9"/>
            <w:rFonts w:hint="eastAsia"/>
            <w:noProof/>
          </w:rPr>
          <w:t>测量链与模型中的不确定度来源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_Toc244165137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4</w:t>
        </w:r>
        <w:r>
          <w:rPr>
            <w:rFonts w:hint="eastAsia"/>
            <w:noProof/>
            <w:webHidden/>
          </w:rPr>
          <w:fldChar w:fldCharType="end"/>
        </w:r>
      </w:hyperlink>
    </w:p>
    <w:p w14:paraId="4167E42B" w14:textId="252146B7"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38" w:history="1">
        <w:r w:rsidRPr="0049045E">
          <w:rPr>
            <w:rStyle w:val="aff9"/>
            <w:rFonts w:hint="eastAsia"/>
            <w:noProof/>
          </w:rPr>
          <w:t xml:space="preserve">2.2 </w:t>
        </w:r>
        <w:r w:rsidRPr="0049045E">
          <w:rPr>
            <w:rStyle w:val="aff9"/>
            <w:rFonts w:hint="eastAsia"/>
            <w:noProof/>
          </w:rPr>
          <w:t>偶然不确定度与认知不确定度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_Toc244165138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4</w:t>
        </w:r>
        <w:r>
          <w:rPr>
            <w:rFonts w:hint="eastAsia"/>
            <w:noProof/>
            <w:webHidden/>
          </w:rPr>
          <w:fldChar w:fldCharType="end"/>
        </w:r>
      </w:hyperlink>
    </w:p>
    <w:p w14:paraId="49A90AB4" w14:textId="1E0052C1"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39" w:history="1">
        <w:r w:rsidRPr="0049045E">
          <w:rPr>
            <w:rStyle w:val="aff9"/>
            <w:rFonts w:hint="eastAsia"/>
            <w:noProof/>
          </w:rPr>
          <w:t xml:space="preserve">2.3 </w:t>
        </w:r>
        <w:r w:rsidRPr="0049045E">
          <w:rPr>
            <w:rStyle w:val="aff9"/>
            <w:rFonts w:hint="eastAsia"/>
            <w:noProof/>
          </w:rPr>
          <w:t>不同输出形式的统计含义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_Toc244165139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4</w:t>
        </w:r>
        <w:r>
          <w:rPr>
            <w:rFonts w:hint="eastAsia"/>
            <w:noProof/>
            <w:webHidden/>
          </w:rPr>
          <w:fldChar w:fldCharType="end"/>
        </w:r>
      </w:hyperlink>
    </w:p>
    <w:p w14:paraId="750C875C" w14:textId="411239D1"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0" w:history="1">
        <w:r w:rsidRPr="0049045E">
          <w:rPr>
            <w:rStyle w:val="aff9"/>
            <w:rFonts w:hint="eastAsia"/>
            <w:noProof/>
          </w:rPr>
          <w:t xml:space="preserve">2.4 </w:t>
        </w:r>
        <w:r w:rsidRPr="0049045E">
          <w:rPr>
            <w:rStyle w:val="aff9"/>
            <w:rFonts w:hint="eastAsia"/>
            <w:noProof/>
          </w:rPr>
          <w:t>不确定度传播与蒙特卡洛方法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_Toc244165140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5</w:t>
        </w:r>
        <w:r>
          <w:rPr>
            <w:rFonts w:hint="eastAsia"/>
            <w:noProof/>
            <w:webHidden/>
          </w:rPr>
          <w:fldChar w:fldCharType="end"/>
        </w:r>
      </w:hyperlink>
    </w:p>
    <w:p w14:paraId="7CB1CACE" w14:textId="1B350E4B"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41" w:history="1">
        <w:r w:rsidRPr="0049045E">
          <w:rPr>
            <w:rStyle w:val="aff9"/>
            <w:rFonts w:hint="eastAsia"/>
            <w:noProof/>
          </w:rPr>
          <w:t>三、概率校准与共形预测</w:t>
        </w:r>
      </w:hyperlink>
    </w:p>
    <w:p w14:paraId="4BBE40BD" w14:textId="6D49D511"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2" w:history="1">
        <w:r w:rsidRPr="0049045E">
          <w:rPr>
            <w:rStyle w:val="aff9"/>
            <w:rFonts w:hint="eastAsia"/>
            <w:noProof/>
          </w:rPr>
          <w:t xml:space="preserve">3.1 </w:t>
        </w:r>
        <w:r w:rsidRPr="0049045E">
          <w:rPr>
            <w:rStyle w:val="aff9"/>
            <w:rFonts w:hint="eastAsia"/>
            <w:noProof/>
          </w:rPr>
          <w:t>分类正确性与概率可靠性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_Toc244165142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5</w:t>
        </w:r>
        <w:r>
          <w:rPr>
            <w:rFonts w:hint="eastAsia"/>
            <w:noProof/>
            <w:webHidden/>
          </w:rPr>
          <w:fldChar w:fldCharType="end"/>
        </w:r>
      </w:hyperlink>
    </w:p>
    <w:p w14:paraId="5CC66EE5" w14:textId="43989F41"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3" w:history="1">
        <w:r w:rsidRPr="0049045E">
          <w:rPr>
            <w:rStyle w:val="aff9"/>
            <w:rFonts w:hint="eastAsia"/>
            <w:noProof/>
          </w:rPr>
          <w:t xml:space="preserve">3.2 </w:t>
        </w:r>
        <w:r w:rsidRPr="0049045E">
          <w:rPr>
            <w:rStyle w:val="aff9"/>
            <w:rFonts w:hint="eastAsia"/>
            <w:noProof/>
          </w:rPr>
          <w:t>温度缩放与评价指标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_Toc244165143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6</w:t>
        </w:r>
        <w:r>
          <w:rPr>
            <w:rFonts w:hint="eastAsia"/>
            <w:noProof/>
            <w:webHidden/>
          </w:rPr>
          <w:fldChar w:fldCharType="end"/>
        </w:r>
      </w:hyperlink>
    </w:p>
    <w:p w14:paraId="43993809" w14:textId="5A0D223E"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4" w:history="1">
        <w:r w:rsidRPr="0049045E">
          <w:rPr>
            <w:rStyle w:val="aff9"/>
            <w:rFonts w:hint="eastAsia"/>
            <w:noProof/>
          </w:rPr>
          <w:t xml:space="preserve">3.3 </w:t>
        </w:r>
        <w:r w:rsidRPr="0049045E">
          <w:rPr>
            <w:rStyle w:val="aff9"/>
            <w:rFonts w:hint="eastAsia"/>
            <w:noProof/>
          </w:rPr>
          <w:t>共形预测与边际覆盖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_Toc244165144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6</w:t>
        </w:r>
        <w:r>
          <w:rPr>
            <w:rFonts w:hint="eastAsia"/>
            <w:noProof/>
            <w:webHidden/>
          </w:rPr>
          <w:fldChar w:fldCharType="end"/>
        </w:r>
      </w:hyperlink>
    </w:p>
    <w:p w14:paraId="680779DF" w14:textId="70E46939"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5" w:history="1">
        <w:r w:rsidRPr="0049045E">
          <w:rPr>
            <w:rStyle w:val="aff9"/>
            <w:rFonts w:hint="eastAsia"/>
            <w:noProof/>
          </w:rPr>
          <w:t xml:space="preserve">3.4 </w:t>
        </w:r>
        <w:r w:rsidRPr="0049045E">
          <w:rPr>
            <w:rStyle w:val="aff9"/>
            <w:rFonts w:hint="eastAsia"/>
            <w:noProof/>
          </w:rPr>
          <w:t>依赖数据与覆盖边界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_Toc244165145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7</w:t>
        </w:r>
        <w:r>
          <w:rPr>
            <w:rFonts w:hint="eastAsia"/>
            <w:noProof/>
            <w:webHidden/>
          </w:rPr>
          <w:fldChar w:fldCharType="end"/>
        </w:r>
      </w:hyperlink>
    </w:p>
    <w:p w14:paraId="01DB6098" w14:textId="3D1E74A3"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46" w:history="1">
        <w:r w:rsidRPr="0049045E">
          <w:rPr>
            <w:rStyle w:val="aff9"/>
            <w:rFonts w:hint="eastAsia"/>
            <w:noProof/>
          </w:rPr>
          <w:t>四、适用域检测与拒识策略</w:t>
        </w:r>
      </w:hyperlink>
    </w:p>
    <w:p w14:paraId="58154F01" w14:textId="11E27E07"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7" w:history="1">
        <w:r w:rsidRPr="0049045E">
          <w:rPr>
            <w:rStyle w:val="aff9"/>
            <w:rFonts w:hint="eastAsia"/>
            <w:noProof/>
          </w:rPr>
          <w:t xml:space="preserve">4.1 </w:t>
        </w:r>
        <w:r w:rsidRPr="0049045E">
          <w:rPr>
            <w:rStyle w:val="aff9"/>
            <w:rFonts w:hint="eastAsia"/>
            <w:noProof/>
          </w:rPr>
          <w:t>分析模型的适用域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_Toc244165147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7</w:t>
        </w:r>
        <w:r>
          <w:rPr>
            <w:rFonts w:hint="eastAsia"/>
            <w:noProof/>
            <w:webHidden/>
          </w:rPr>
          <w:fldChar w:fldCharType="end"/>
        </w:r>
      </w:hyperlink>
    </w:p>
    <w:p w14:paraId="4484C483" w14:textId="70516E53"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8" w:history="1">
        <w:r w:rsidRPr="0049045E">
          <w:rPr>
            <w:rStyle w:val="aff9"/>
            <w:rFonts w:hint="eastAsia"/>
            <w:noProof/>
          </w:rPr>
          <w:t xml:space="preserve">4.2 </w:t>
        </w:r>
        <w:r w:rsidRPr="0049045E">
          <w:rPr>
            <w:rStyle w:val="aff9"/>
            <w:rFonts w:hint="eastAsia"/>
            <w:noProof/>
          </w:rPr>
          <w:t>得分距离与残差的互补检查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_Toc244165148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7</w:t>
        </w:r>
        <w:r>
          <w:rPr>
            <w:rFonts w:hint="eastAsia"/>
            <w:noProof/>
            <w:webHidden/>
          </w:rPr>
          <w:fldChar w:fldCharType="end"/>
        </w:r>
      </w:hyperlink>
    </w:p>
    <w:p w14:paraId="3473BCB1" w14:textId="4F72627A"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49" w:history="1">
        <w:r w:rsidRPr="0049045E">
          <w:rPr>
            <w:rStyle w:val="aff9"/>
            <w:rFonts w:hint="eastAsia"/>
            <w:noProof/>
          </w:rPr>
          <w:t xml:space="preserve">4.3 </w:t>
        </w:r>
        <w:r w:rsidRPr="0049045E">
          <w:rPr>
            <w:rStyle w:val="aff9"/>
            <w:rFonts w:hint="eastAsia"/>
            <w:noProof/>
          </w:rPr>
          <w:t>现代检测评分与阈值选择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_Toc244165149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8</w:t>
        </w:r>
        <w:r>
          <w:rPr>
            <w:rFonts w:hint="eastAsia"/>
            <w:noProof/>
            <w:webHidden/>
          </w:rPr>
          <w:fldChar w:fldCharType="end"/>
        </w:r>
      </w:hyperlink>
    </w:p>
    <w:p w14:paraId="571AA9BE" w14:textId="3D3FBE27"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0" w:history="1">
        <w:r w:rsidRPr="0049045E">
          <w:rPr>
            <w:rStyle w:val="aff9"/>
            <w:rFonts w:hint="eastAsia"/>
            <w:noProof/>
          </w:rPr>
          <w:t xml:space="preserve">4.4 </w:t>
        </w:r>
        <w:r w:rsidRPr="0049045E">
          <w:rPr>
            <w:rStyle w:val="aff9"/>
            <w:rFonts w:hint="eastAsia"/>
            <w:noProof/>
          </w:rPr>
          <w:t>接受率与选择性风险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_Toc244165150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8</w:t>
        </w:r>
        <w:r>
          <w:rPr>
            <w:rFonts w:hint="eastAsia"/>
            <w:noProof/>
            <w:webHidden/>
          </w:rPr>
          <w:fldChar w:fldCharType="end"/>
        </w:r>
      </w:hyperlink>
    </w:p>
    <w:p w14:paraId="34EEB6E4" w14:textId="1EFABD62"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51" w:history="1">
        <w:r w:rsidRPr="0049045E">
          <w:rPr>
            <w:rStyle w:val="aff9"/>
            <w:rFonts w:hint="eastAsia"/>
            <w:noProof/>
          </w:rPr>
          <w:t>五、混杂因素与解释的证据边界</w:t>
        </w:r>
      </w:hyperlink>
    </w:p>
    <w:p w14:paraId="44EB0CA3" w14:textId="5DC7A9FB"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2" w:history="1">
        <w:r w:rsidRPr="0049045E">
          <w:rPr>
            <w:rStyle w:val="aff9"/>
            <w:rFonts w:hint="eastAsia"/>
            <w:noProof/>
          </w:rPr>
          <w:t xml:space="preserve">5.1 </w:t>
        </w:r>
        <w:r w:rsidRPr="0049045E">
          <w:rPr>
            <w:rStyle w:val="aff9"/>
            <w:rFonts w:hint="eastAsia"/>
            <w:noProof/>
          </w:rPr>
          <w:t>批次捷径与完全混杂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_Toc244165152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9</w:t>
        </w:r>
        <w:r>
          <w:rPr>
            <w:rFonts w:hint="eastAsia"/>
            <w:noProof/>
            <w:webHidden/>
          </w:rPr>
          <w:fldChar w:fldCharType="end"/>
        </w:r>
      </w:hyperlink>
    </w:p>
    <w:p w14:paraId="0850B1D2" w14:textId="0395638E"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3" w:history="1">
        <w:r w:rsidRPr="0049045E">
          <w:rPr>
            <w:rStyle w:val="aff9"/>
            <w:rFonts w:hint="eastAsia"/>
            <w:noProof/>
          </w:rPr>
          <w:t xml:space="preserve">5.2 </w:t>
        </w:r>
        <w:r w:rsidRPr="0049045E">
          <w:rPr>
            <w:rStyle w:val="aff9"/>
            <w:rFonts w:hint="eastAsia"/>
            <w:noProof/>
          </w:rPr>
          <w:t>数据划分与预处理泄漏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_Toc244165153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9</w:t>
        </w:r>
        <w:r>
          <w:rPr>
            <w:rFonts w:hint="eastAsia"/>
            <w:noProof/>
            <w:webHidden/>
          </w:rPr>
          <w:fldChar w:fldCharType="end"/>
        </w:r>
      </w:hyperlink>
    </w:p>
    <w:p w14:paraId="1AC26848" w14:textId="7BDEB536"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4" w:history="1">
        <w:r w:rsidRPr="0049045E">
          <w:rPr>
            <w:rStyle w:val="aff9"/>
            <w:rFonts w:hint="eastAsia"/>
            <w:noProof/>
          </w:rPr>
          <w:t xml:space="preserve">5.3 </w:t>
        </w:r>
        <w:r w:rsidRPr="0049045E">
          <w:rPr>
            <w:rStyle w:val="aff9"/>
            <w:rFonts w:hint="eastAsia"/>
            <w:noProof/>
          </w:rPr>
          <w:t>干预与对照的作用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_Toc244165154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9</w:t>
        </w:r>
        <w:r>
          <w:rPr>
            <w:rFonts w:hint="eastAsia"/>
            <w:noProof/>
            <w:webHidden/>
          </w:rPr>
          <w:fldChar w:fldCharType="end"/>
        </w:r>
      </w:hyperlink>
    </w:p>
    <w:p w14:paraId="2F276554" w14:textId="6A4AAA06"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5" w:history="1">
        <w:r w:rsidRPr="0049045E">
          <w:rPr>
            <w:rStyle w:val="aff9"/>
            <w:rFonts w:hint="eastAsia"/>
            <w:noProof/>
          </w:rPr>
          <w:t xml:space="preserve">5.4 </w:t>
        </w:r>
        <w:r w:rsidRPr="0049045E">
          <w:rPr>
            <w:rStyle w:val="aff9"/>
            <w:rFonts w:hint="eastAsia"/>
            <w:noProof/>
          </w:rPr>
          <w:t>归因稳定性与机制判断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_Toc244165155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10</w:t>
        </w:r>
        <w:r>
          <w:rPr>
            <w:rFonts w:hint="eastAsia"/>
            <w:noProof/>
            <w:webHidden/>
          </w:rPr>
          <w:fldChar w:fldCharType="end"/>
        </w:r>
      </w:hyperlink>
    </w:p>
    <w:p w14:paraId="156712D2" w14:textId="68457698"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56" w:history="1">
        <w:r w:rsidRPr="0049045E">
          <w:rPr>
            <w:rStyle w:val="aff9"/>
            <w:rFonts w:hint="eastAsia"/>
            <w:noProof/>
          </w:rPr>
          <w:t>六、物理化学约束与方法验证</w:t>
        </w:r>
      </w:hyperlink>
    </w:p>
    <w:p w14:paraId="2E49CAD2" w14:textId="534BE45E"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7" w:history="1">
        <w:r w:rsidRPr="0049045E">
          <w:rPr>
            <w:rStyle w:val="aff9"/>
            <w:rFonts w:hint="eastAsia"/>
            <w:noProof/>
          </w:rPr>
          <w:t xml:space="preserve">6.1 </w:t>
        </w:r>
        <w:r w:rsidRPr="0049045E">
          <w:rPr>
            <w:rStyle w:val="aff9"/>
            <w:rFonts w:hint="eastAsia"/>
            <w:noProof/>
          </w:rPr>
          <w:t>约束知识的使用条件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_Toc244165157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10</w:t>
        </w:r>
        <w:r>
          <w:rPr>
            <w:rFonts w:hint="eastAsia"/>
            <w:noProof/>
            <w:webHidden/>
          </w:rPr>
          <w:fldChar w:fldCharType="end"/>
        </w:r>
      </w:hyperlink>
    </w:p>
    <w:p w14:paraId="5FF6AD88" w14:textId="20F67790"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8" w:history="1">
        <w:r w:rsidRPr="0049045E">
          <w:rPr>
            <w:rStyle w:val="aff9"/>
            <w:rFonts w:hint="eastAsia"/>
            <w:noProof/>
          </w:rPr>
          <w:t xml:space="preserve">6.2 </w:t>
        </w:r>
        <w:r w:rsidRPr="0049045E">
          <w:rPr>
            <w:rStyle w:val="aff9"/>
            <w:rFonts w:hint="eastAsia"/>
            <w:noProof/>
          </w:rPr>
          <w:t>机理与数据模型的结合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_Toc244165158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10</w:t>
        </w:r>
        <w:r>
          <w:rPr>
            <w:rFonts w:hint="eastAsia"/>
            <w:noProof/>
            <w:webHidden/>
          </w:rPr>
          <w:fldChar w:fldCharType="end"/>
        </w:r>
      </w:hyperlink>
    </w:p>
    <w:p w14:paraId="156C330B" w14:textId="3FA5B116"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59" w:history="1">
        <w:r w:rsidRPr="0049045E">
          <w:rPr>
            <w:rStyle w:val="aff9"/>
            <w:rFonts w:hint="eastAsia"/>
            <w:noProof/>
          </w:rPr>
          <w:t xml:space="preserve">6.3 </w:t>
        </w:r>
        <w:r w:rsidRPr="0049045E">
          <w:rPr>
            <w:rStyle w:val="aff9"/>
            <w:rFonts w:hint="eastAsia"/>
            <w:noProof/>
          </w:rPr>
          <w:t>分析性能与机器学习指标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_Toc244165159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11</w:t>
        </w:r>
        <w:r>
          <w:rPr>
            <w:rFonts w:hint="eastAsia"/>
            <w:noProof/>
            <w:webHidden/>
          </w:rPr>
          <w:fldChar w:fldCharType="end"/>
        </w:r>
      </w:hyperlink>
    </w:p>
    <w:p w14:paraId="72EEF167" w14:textId="2240F5FC"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60" w:history="1">
        <w:r w:rsidRPr="0049045E">
          <w:rPr>
            <w:rStyle w:val="aff9"/>
            <w:rFonts w:hint="eastAsia"/>
            <w:noProof/>
          </w:rPr>
          <w:t xml:space="preserve">6.4 </w:t>
        </w:r>
        <w:r w:rsidRPr="0049045E">
          <w:rPr>
            <w:rStyle w:val="aff9"/>
            <w:rFonts w:hint="eastAsia"/>
            <w:noProof/>
          </w:rPr>
          <w:t>记录与变更后的再评价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_Toc244165160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11</w:t>
        </w:r>
        <w:r>
          <w:rPr>
            <w:rFonts w:hint="eastAsia"/>
            <w:noProof/>
            <w:webHidden/>
          </w:rPr>
          <w:fldChar w:fldCharType="end"/>
        </w:r>
      </w:hyperlink>
    </w:p>
    <w:p w14:paraId="53AFF666" w14:textId="2024C1E3"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61" w:history="1">
        <w:r w:rsidRPr="0049045E">
          <w:rPr>
            <w:rStyle w:val="aff9"/>
            <w:rFonts w:hint="eastAsia"/>
            <w:noProof/>
          </w:rPr>
          <w:t>七、拉曼分类实验与前沿讨论</w:t>
        </w:r>
      </w:hyperlink>
    </w:p>
    <w:p w14:paraId="208C9C2B" w14:textId="7A1CB474"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62" w:history="1">
        <w:r w:rsidRPr="0049045E">
          <w:rPr>
            <w:rStyle w:val="aff9"/>
            <w:rFonts w:hint="eastAsia"/>
            <w:noProof/>
          </w:rPr>
          <w:t xml:space="preserve">7.1 </w:t>
        </w:r>
        <w:r w:rsidRPr="0049045E">
          <w:rPr>
            <w:rStyle w:val="aff9"/>
            <w:rFonts w:hint="eastAsia"/>
            <w:noProof/>
          </w:rPr>
          <w:t>数据来源与标签审计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_Toc244165162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11</w:t>
        </w:r>
        <w:r>
          <w:rPr>
            <w:rFonts w:hint="eastAsia"/>
            <w:noProof/>
            <w:webHidden/>
          </w:rPr>
          <w:fldChar w:fldCharType="end"/>
        </w:r>
      </w:hyperlink>
    </w:p>
    <w:p w14:paraId="4D4FF3CA" w14:textId="60642CD7"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63" w:history="1">
        <w:r w:rsidRPr="0049045E">
          <w:rPr>
            <w:rStyle w:val="aff9"/>
            <w:rFonts w:hint="eastAsia"/>
            <w:noProof/>
          </w:rPr>
          <w:t xml:space="preserve">7.2 </w:t>
        </w:r>
        <w:r w:rsidRPr="0049045E">
          <w:rPr>
            <w:rStyle w:val="aff9"/>
            <w:rFonts w:hint="eastAsia"/>
            <w:noProof/>
          </w:rPr>
          <w:t>建模与概率校准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_Toc244165163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12</w:t>
        </w:r>
        <w:r>
          <w:rPr>
            <w:rFonts w:hint="eastAsia"/>
            <w:noProof/>
            <w:webHidden/>
          </w:rPr>
          <w:fldChar w:fldCharType="end"/>
        </w:r>
      </w:hyperlink>
    </w:p>
    <w:p w14:paraId="0F4861E1" w14:textId="47C67207"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64" w:history="1">
        <w:r w:rsidRPr="0049045E">
          <w:rPr>
            <w:rStyle w:val="aff9"/>
            <w:rFonts w:hint="eastAsia"/>
            <w:noProof/>
          </w:rPr>
          <w:t xml:space="preserve">7.3 </w:t>
        </w:r>
        <w:r w:rsidRPr="0049045E">
          <w:rPr>
            <w:rStyle w:val="aff9"/>
            <w:rFonts w:hint="eastAsia"/>
            <w:noProof/>
          </w:rPr>
          <w:t>分类与拒识结果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_Toc244165164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13</w:t>
        </w:r>
        <w:r>
          <w:rPr>
            <w:rFonts w:hint="eastAsia"/>
            <w:noProof/>
            <w:webHidden/>
          </w:rPr>
          <w:fldChar w:fldCharType="end"/>
        </w:r>
      </w:hyperlink>
    </w:p>
    <w:p w14:paraId="66DFB1E1" w14:textId="46C753C8" w:rsidR="00485E89" w:rsidRDefault="00485E89">
      <w:pPr>
        <w:pStyle w:val="TOC2"/>
        <w:tabs>
          <w:tab w:val="clear" w:pos="9792"/>
          <w:tab w:val="right" w:leader="dot" w:pos="9782"/>
        </w:tabs>
        <w:ind w:left="440"/>
        <w:rPr>
          <w:rFonts w:asciiTheme="minorHAnsi" w:eastAsiaTheme="minorEastAsia" w:hAnsiTheme="minorHAnsi" w:cstheme="minorBidi"/>
          <w:noProof/>
          <w:color w:val="auto"/>
          <w:kern w:val="2"/>
          <w:szCs w:val="24"/>
          <w:lang w:eastAsia="zh-CN"/>
          <w14:ligatures w14:val="standardContextual"/>
        </w:rPr>
      </w:pPr>
      <w:hyperlink w:anchor="_Toc244165165" w:history="1">
        <w:r w:rsidRPr="0049045E">
          <w:rPr>
            <w:rStyle w:val="aff9"/>
            <w:rFonts w:hint="eastAsia"/>
            <w:noProof/>
          </w:rPr>
          <w:t xml:space="preserve">7.4 </w:t>
        </w:r>
        <w:r w:rsidRPr="0049045E">
          <w:rPr>
            <w:rStyle w:val="aff9"/>
            <w:rFonts w:hint="eastAsia"/>
            <w:noProof/>
          </w:rPr>
          <w:t>化学解释与前沿比较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_Toc244165165 \h</w:instrText>
        </w:r>
        <w:r>
          <w:rPr>
            <w:rFonts w:hint="eastAsia"/>
            <w:noProof/>
            <w:webHidden/>
          </w:rPr>
          <w:instrText xml:space="preserve"> </w:instrText>
        </w:r>
        <w:r>
          <w:rPr>
            <w:rFonts w:hint="eastAsia"/>
            <w:noProof/>
            <w:webHidden/>
          </w:rPr>
        </w:r>
        <w:r>
          <w:rPr>
            <w:rFonts w:hint="eastAsia"/>
            <w:noProof/>
            <w:webHidden/>
          </w:rPr>
          <w:fldChar w:fldCharType="separate"/>
        </w:r>
        <w:r w:rsidR="00770D9A">
          <w:rPr>
            <w:noProof/>
            <w:webHidden/>
          </w:rPr>
          <w:t>15</w:t>
        </w:r>
        <w:r>
          <w:rPr>
            <w:rFonts w:hint="eastAsia"/>
            <w:noProof/>
            <w:webHidden/>
          </w:rPr>
          <w:fldChar w:fldCharType="end"/>
        </w:r>
      </w:hyperlink>
    </w:p>
    <w:p w14:paraId="2EB7E6F8" w14:textId="7CDACC38"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66" w:history="1">
        <w:r w:rsidRPr="0049045E">
          <w:rPr>
            <w:rStyle w:val="aff9"/>
            <w:rFonts w:hint="eastAsia"/>
            <w:noProof/>
          </w:rPr>
          <w:t>八、结论与展望</w:t>
        </w:r>
      </w:hyperlink>
    </w:p>
    <w:p w14:paraId="602496F4" w14:textId="62399736" w:rsidR="00485E89" w:rsidRDefault="00485E89">
      <w:pPr>
        <w:pStyle w:val="TOC1"/>
        <w:tabs>
          <w:tab w:val="clear" w:pos="9792"/>
          <w:tab w:val="right" w:leader="dot" w:pos="9782"/>
        </w:tabs>
        <w:rPr>
          <w:rFonts w:asciiTheme="minorHAnsi" w:eastAsiaTheme="minorEastAsia" w:hAnsiTheme="minorHAnsi" w:cstheme="minorBidi"/>
          <w:noProof/>
          <w:color w:val="auto"/>
          <w:kern w:val="2"/>
          <w:szCs w:val="24"/>
          <w:lang w:eastAsia="zh-CN"/>
          <w14:ligatures w14:val="standardContextual"/>
        </w:rPr>
      </w:pPr>
      <w:hyperlink w:anchor="_Toc244165167" w:history="1">
        <w:r w:rsidRPr="0049045E">
          <w:rPr>
            <w:rStyle w:val="aff9"/>
            <w:rFonts w:hint="eastAsia"/>
            <w:noProof/>
          </w:rPr>
          <w:t>参考文献</w:t>
        </w:r>
      </w:hyperlink>
    </w:p>
    <w:p w14:paraId="1A72D8E9" w14:textId="76BFE6D4" w:rsidR="00727F41" w:rsidRDefault="00485E89">
      <w:pPr>
        <w:ind w:firstLine="0"/>
      </w:pPr>
      <w:r>
        <w:fldChar w:fldCharType="end"/>
      </w:r>
    </w:p>
    <w:p w14:paraId="42F82FBF" w14:textId="77777777" w:rsidR="00727F41" w:rsidRDefault="00485E89">
      <w:pPr>
        <w:pStyle w:val="1"/>
        <w:pageBreakBefore/>
      </w:pPr>
      <w:bookmarkStart w:id="1" w:name="_Toc244165133"/>
      <w:r>
        <w:lastRenderedPageBreak/>
        <w:t>一、引言</w:t>
      </w:r>
      <w:bookmarkEnd w:id="1"/>
    </w:p>
    <w:p w14:paraId="464C88B4" w14:textId="77777777" w:rsidR="00727F41" w:rsidRDefault="00485E89">
      <w:pPr>
        <w:pStyle w:val="21"/>
      </w:pPr>
      <w:bookmarkStart w:id="2" w:name="_Toc244165134"/>
      <w:r>
        <w:t xml:space="preserve">1.1 </w:t>
      </w:r>
      <w:r>
        <w:t>智能分析的应用与可靠性问题</w:t>
      </w:r>
      <w:bookmarkEnd w:id="2"/>
    </w:p>
    <w:p w14:paraId="012544D3" w14:textId="77777777" w:rsidR="00727F41" w:rsidRDefault="00485E89">
      <w:pPr>
        <w:jc w:val="both"/>
      </w:pPr>
      <w:r>
        <w:t>光谱等分析数据通常具有变量多、变量相关和重复测量层级复杂等特点。机器学习可以综合多个波段的信息，支持物质识别及性质预测。拉曼光谱细菌分类和微塑料自动光谱分析提供了具体应用实例，但它们涉及不同的样品、标签体系与分析终点，不能用同一个准确率数字概括可靠性。实际应用还取决于制样方式、仪器状态、谱库覆盖及新样品与建模样品的差异</w:t>
      </w:r>
      <w:r>
        <w:rPr>
          <w:sz w:val="18"/>
          <w:vertAlign w:val="superscript"/>
        </w:rPr>
        <w:t>[1,2]</w:t>
      </w:r>
      <w:r>
        <w:t>。</w:t>
      </w:r>
    </w:p>
    <w:p w14:paraId="0DCE078E" w14:textId="77777777" w:rsidR="00727F41" w:rsidRDefault="00485E89">
      <w:pPr>
        <w:jc w:val="both"/>
      </w:pPr>
      <w:r>
        <w:t>当分析模型用于判断未知样品时，使用者需要知道预测依据是否充分、概率表达是否可信，以及在哪些条件下应复测或转交其他方法。某一测试集上的高准确率，不能单独回答这些问题。模型可能正确区分类别但持续高估概率，也可能在新分布上同时失去分类能力和概率可靠性</w:t>
      </w:r>
      <w:r>
        <w:rPr>
          <w:sz w:val="18"/>
          <w:vertAlign w:val="superscript"/>
        </w:rPr>
        <w:t>[3,4]</w:t>
      </w:r>
      <w:r>
        <w:t>。</w:t>
      </w:r>
      <w:r>
        <w:t xml:space="preserve"> </w:t>
      </w:r>
      <w:r>
        <w:t>对分析化学而言，这些问题还应放回测量过程：被测对象、样品代表性、参考信息及测量条件共同决定结论能够支持到何种程度</w:t>
      </w:r>
      <w:r>
        <w:rPr>
          <w:sz w:val="18"/>
          <w:vertAlign w:val="superscript"/>
        </w:rPr>
        <w:t>[5]</w:t>
      </w:r>
      <w:r>
        <w:t>。</w:t>
      </w:r>
    </w:p>
    <w:p w14:paraId="34048F35" w14:textId="77777777" w:rsidR="00727F41" w:rsidRDefault="00485E89">
      <w:pPr>
        <w:pStyle w:val="21"/>
      </w:pPr>
      <w:bookmarkStart w:id="3" w:name="_Toc244165135"/>
      <w:r>
        <w:t xml:space="preserve">1.2 </w:t>
      </w:r>
      <w:r>
        <w:t>可信智能分析的研究范围</w:t>
      </w:r>
      <w:bookmarkEnd w:id="3"/>
    </w:p>
    <w:p w14:paraId="2DF6A136" w14:textId="77777777" w:rsidR="00727F41" w:rsidRDefault="00485E89">
      <w:pPr>
        <w:jc w:val="both"/>
      </w:pPr>
      <w:r>
        <w:t>本文将可信智能分析理解为：围绕明确的分析目的，对数据来源、测量与建模过程、预测不确定度、适用范围和解释依据进行相互衔接的验证与记录。这一界定侧重分析结论的可靠性，不将一般人工智能治理的全部议题纳入讨论。其基本要求是让性能数字对应具体数据和使用条件，使接受、拒识及补充测量的决定具有可检查的依据。</w:t>
      </w:r>
    </w:p>
    <w:p w14:paraId="6993523E" w14:textId="77777777" w:rsidR="00727F41" w:rsidRDefault="00485E89">
      <w:pPr>
        <w:jc w:val="both"/>
      </w:pPr>
      <w:r>
        <w:t>本文将文献综述、方法比较与公开拉曼数据教学实验结合，先讨论不确定度、概率表达和适用域，再分析混杂、解释与方法验证，最后报告标签审计和独立留出编号上的计算结果。图</w:t>
      </w:r>
      <w:r>
        <w:t>1</w:t>
      </w:r>
      <w:r>
        <w:t>给出证据组织顺序。实验针对理想化学式基团规则构成的分类任务，研究概率校准和拒识表现；定量检出限与完整化学机制验证需要另行设计实验。</w:t>
      </w:r>
    </w:p>
    <w:p w14:paraId="53C710DE" w14:textId="77777777" w:rsidR="00727F41" w:rsidRDefault="00485E89">
      <w:pPr>
        <w:keepNext/>
        <w:ind w:firstLine="0"/>
        <w:jc w:val="center"/>
      </w:pPr>
      <w:r>
        <w:rPr>
          <w:noProof/>
        </w:rPr>
        <w:drawing>
          <wp:inline distT="0" distB="0" distL="0" distR="0" wp14:anchorId="594FDECA" wp14:editId="6822CEA9">
            <wp:extent cx="6172200" cy="2299447"/>
            <wp:effectExtent l="0" t="0" r="0" b="0"/>
            <wp:docPr id="1" name="Picture 1" descr="可信智能分析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lidation_flow.png"/>
                    <pic:cNvPicPr/>
                  </pic:nvPicPr>
                  <pic:blipFill>
                    <a:blip r:embed="rId8"/>
                    <a:stretch>
                      <a:fillRect/>
                    </a:stretch>
                  </pic:blipFill>
                  <pic:spPr>
                    <a:xfrm>
                      <a:off x="0" y="0"/>
                      <a:ext cx="6172200" cy="2299447"/>
                    </a:xfrm>
                    <a:prstGeom prst="rect">
                      <a:avLst/>
                    </a:prstGeom>
                  </pic:spPr>
                </pic:pic>
              </a:graphicData>
            </a:graphic>
          </wp:inline>
        </w:drawing>
      </w:r>
    </w:p>
    <w:p w14:paraId="16DEEBDE" w14:textId="77777777" w:rsidR="00727F41" w:rsidRDefault="00485E89">
      <w:pPr>
        <w:pStyle w:val="af7"/>
      </w:pPr>
      <w:r>
        <w:t>图</w:t>
      </w:r>
      <w:r>
        <w:t xml:space="preserve">1 </w:t>
      </w:r>
      <w:r>
        <w:t>可信智能分析的验证流程。作者绘制的概念示意，评价步骤应对应同一分析用途；流程本身不构成性能保证。</w:t>
      </w:r>
    </w:p>
    <w:p w14:paraId="010B679D" w14:textId="77777777" w:rsidR="00727F41" w:rsidRDefault="00485E89">
      <w:pPr>
        <w:pStyle w:val="1"/>
      </w:pPr>
      <w:bookmarkStart w:id="4" w:name="_Toc244165136"/>
      <w:r>
        <w:lastRenderedPageBreak/>
        <w:t>二、智能分析预测的不确定度</w:t>
      </w:r>
      <w:bookmarkEnd w:id="4"/>
    </w:p>
    <w:p w14:paraId="2D929BD9" w14:textId="77777777" w:rsidR="00727F41" w:rsidRDefault="00485E89">
      <w:pPr>
        <w:pStyle w:val="21"/>
      </w:pPr>
      <w:bookmarkStart w:id="5" w:name="_Toc244165137"/>
      <w:r>
        <w:t xml:space="preserve">2.1 </w:t>
      </w:r>
      <w:r>
        <w:t>测量链与模型中的不确定度来源</w:t>
      </w:r>
      <w:bookmarkEnd w:id="5"/>
    </w:p>
    <w:p w14:paraId="6C7194F2" w14:textId="77777777" w:rsidR="00727F41" w:rsidRDefault="00485E89">
      <w:pPr>
        <w:jc w:val="both"/>
      </w:pPr>
      <w:r>
        <w:t>测量不确定度与测量结果相联系，用于表征可合理赋予被测量的量值分散程度</w:t>
      </w:r>
      <w:r>
        <w:rPr>
          <w:sz w:val="18"/>
          <w:vertAlign w:val="superscript"/>
        </w:rPr>
        <w:t>[6]</w:t>
      </w:r>
      <w:r>
        <w:t>。</w:t>
      </w:r>
      <w:r>
        <w:t xml:space="preserve"> </w:t>
      </w:r>
      <w:r>
        <w:t>在智能分析中，其来源可以沿采样、制样、仪器测量、参考信息和模型处理逐步识别。例如，样品不均匀性影响所取部分的代表性，制样条件和仪器响应影响光谱，参考方法及标签记录影响训练目标，建模样品覆盖与模型设定影响预测。这里列举的是需要调查的误差来源，不能在缺少数据时直接为它们分配数值。</w:t>
      </w:r>
    </w:p>
    <w:p w14:paraId="5C6BE755" w14:textId="77777777" w:rsidR="00727F41" w:rsidRDefault="00485E89">
      <w:pPr>
        <w:jc w:val="both"/>
      </w:pPr>
      <w:r>
        <w:t>分类概率描述给定输入和模型下的类别输出，不是测量链全部不确定度的汇总。对固定光谱重复运行算法，只能考察计算或模型随机性；它不覆盖重新采样、重新制样及仪器长期变化。即使预测区间由模型给出，也需要说明其针对的是未来观测、模型均值还是其他对象。将这些对象混用，会造成区间含义与分析用途不一致</w:t>
      </w:r>
      <w:r>
        <w:rPr>
          <w:sz w:val="18"/>
          <w:vertAlign w:val="superscript"/>
        </w:rPr>
        <w:t>[5,7]</w:t>
      </w:r>
      <w:r>
        <w:t>。</w:t>
      </w:r>
    </w:p>
    <w:p w14:paraId="3296A130" w14:textId="77777777" w:rsidR="00727F41" w:rsidRDefault="00485E89">
      <w:pPr>
        <w:jc w:val="both"/>
      </w:pPr>
      <w:r>
        <w:t>误差、偏倚和不确定度也应区别使用。已识别偏倚需要评估并在适当情况下校正，校正本身仍可能有不确定度；不确定度不是一项可以代替偏倚调查的附加量。对参考标签存在疑问的样品，模型与标签不一致也不能立即归因为模型失效，应回查参考方法和记录</w:t>
      </w:r>
      <w:r>
        <w:rPr>
          <w:sz w:val="18"/>
          <w:vertAlign w:val="superscript"/>
        </w:rPr>
        <w:t>[5,6]</w:t>
      </w:r>
      <w:r>
        <w:t>。</w:t>
      </w:r>
    </w:p>
    <w:p w14:paraId="57B28B33" w14:textId="77777777" w:rsidR="00727F41" w:rsidRDefault="00485E89">
      <w:pPr>
        <w:pStyle w:val="21"/>
      </w:pPr>
      <w:bookmarkStart w:id="6" w:name="_Toc244165138"/>
      <w:r>
        <w:t xml:space="preserve">2.2 </w:t>
      </w:r>
      <w:r>
        <w:t>偶然不确定度与认知不确定度</w:t>
      </w:r>
      <w:bookmarkEnd w:id="6"/>
    </w:p>
    <w:p w14:paraId="7792F86B" w14:textId="77777777" w:rsidR="00727F41" w:rsidRDefault="00485E89">
      <w:pPr>
        <w:jc w:val="both"/>
      </w:pPr>
      <w:r>
        <w:t>机器学习中常用偶然不确定度描述在给定观测条件下仍存在的数据变异，用认知不确定度描述有限知识、数据覆盖或模型设定带来的不足。这种区分需要结合模型与观测条件理解：提高仪器信噪比可能改变原先视为不可约的变异，增加训练数据也不必然消除错误模型结构带来的偏差。</w:t>
      </w:r>
    </w:p>
    <w:p w14:paraId="5C51195B" w14:textId="77777777" w:rsidR="00727F41" w:rsidRDefault="00485E89">
      <w:pPr>
        <w:jc w:val="both"/>
      </w:pPr>
      <w:r>
        <w:t>深度集成以多个模型的预测组成集成，是表达模型差异的一种代表方法；预测一致不意味着样品处于适用域内，集成成员也可能共同依赖同一种捷径</w:t>
      </w:r>
      <w:r>
        <w:rPr>
          <w:sz w:val="18"/>
          <w:vertAlign w:val="superscript"/>
        </w:rPr>
        <w:t>[8]</w:t>
      </w:r>
      <w:r>
        <w:t>。</w:t>
      </w:r>
      <w:r>
        <w:t xml:space="preserve"> Ovadia</w:t>
      </w:r>
      <w:r>
        <w:t>等在多个任务中比较了不确定度方法，发现数据偏移会影响误差和概率质量。该结果说明，不确定度表达还需要在目标条件下检验，不能仅凭方法名称判断可靠性</w:t>
      </w:r>
      <w:r>
        <w:rPr>
          <w:sz w:val="18"/>
          <w:vertAlign w:val="superscript"/>
        </w:rPr>
        <w:t>[4]</w:t>
      </w:r>
      <w:r>
        <w:t>。</w:t>
      </w:r>
    </w:p>
    <w:p w14:paraId="2E4694E5" w14:textId="77777777" w:rsidR="00727F41" w:rsidRDefault="00485E89">
      <w:pPr>
        <w:pStyle w:val="21"/>
      </w:pPr>
      <w:bookmarkStart w:id="7" w:name="_Toc244165139"/>
      <w:r>
        <w:t xml:space="preserve">2.3 </w:t>
      </w:r>
      <w:r>
        <w:t>不同输出形式的统计含义</w:t>
      </w:r>
      <w:bookmarkEnd w:id="7"/>
    </w:p>
    <w:p w14:paraId="64CAF10D" w14:textId="77777777" w:rsidR="00727F41" w:rsidRDefault="00485E89">
      <w:pPr>
        <w:jc w:val="both"/>
      </w:pPr>
      <w:r>
        <w:t>点预测便于直接作出类别或数值判断，但不呈现预测范围；概率向量表达模型对各候选类别的分配，预测集合允许保留多个候选标签，回归区间则在连续量尺度上表示可能范围。这些表达适用于不同问题，均需说明构造依据。分类集合很大时，即使覆盖率高，也可能缺少鉴别价值；区间很窄时，若经常遗漏真实结果，也不能称为可靠</w:t>
      </w:r>
      <w:r>
        <w:rPr>
          <w:sz w:val="18"/>
          <w:vertAlign w:val="superscript"/>
        </w:rPr>
        <w:t>[9]</w:t>
      </w:r>
      <w:r>
        <w:t>。</w:t>
      </w:r>
    </w:p>
    <w:p w14:paraId="588E7416" w14:textId="77777777" w:rsidR="00727F41" w:rsidRDefault="00485E89">
      <w:pPr>
        <w:jc w:val="both"/>
      </w:pPr>
      <w:r>
        <w:t>表</w:t>
      </w:r>
      <w:r>
        <w:t>1</w:t>
      </w:r>
      <w:r>
        <w:t>比较本文使用的主要概念。特别需要区分机器学习的分类准确率与计量学中的准确度、正确度和精密度；仅将英文术语直接对应中文，容易掩盖评价对象的不同。</w:t>
      </w:r>
    </w:p>
    <w:p w14:paraId="6C084D33" w14:textId="77777777" w:rsidR="00727F41" w:rsidRDefault="00485E89">
      <w:pPr>
        <w:pStyle w:val="af7"/>
        <w:keepNext/>
      </w:pPr>
      <w:r>
        <w:lastRenderedPageBreak/>
        <w:t>表</w:t>
      </w:r>
      <w:r>
        <w:t xml:space="preserve">1 </w:t>
      </w:r>
      <w:r>
        <w:t>可信分析中主要概念的评价对象</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3888"/>
        <w:gridCol w:w="3888"/>
      </w:tblGrid>
      <w:tr w:rsidR="00727F41" w14:paraId="5E798E16" w14:textId="77777777">
        <w:trPr>
          <w:cantSplit/>
          <w:tblHeader/>
          <w:jc w:val="center"/>
        </w:trPr>
        <w:tc>
          <w:tcPr>
            <w:tcW w:w="2016" w:type="dxa"/>
            <w:shd w:val="clear" w:color="auto" w:fill="E9EFF3"/>
            <w:tcMar>
              <w:top w:w="90" w:type="dxa"/>
              <w:left w:w="90" w:type="dxa"/>
              <w:bottom w:w="90" w:type="dxa"/>
              <w:right w:w="90" w:type="dxa"/>
            </w:tcMar>
            <w:vAlign w:val="center"/>
          </w:tcPr>
          <w:p w14:paraId="15869C3C" w14:textId="77777777" w:rsidR="00727F41" w:rsidRDefault="00485E89">
            <w:pPr>
              <w:keepNext/>
              <w:spacing w:before="60" w:after="60" w:line="278" w:lineRule="auto"/>
              <w:ind w:firstLine="0"/>
              <w:jc w:val="center"/>
            </w:pPr>
            <w:r>
              <w:rPr>
                <w:b/>
                <w:sz w:val="20"/>
              </w:rPr>
              <w:t>概念</w:t>
            </w:r>
          </w:p>
        </w:tc>
        <w:tc>
          <w:tcPr>
            <w:tcW w:w="3888" w:type="dxa"/>
            <w:shd w:val="clear" w:color="auto" w:fill="E9EFF3"/>
            <w:tcMar>
              <w:top w:w="90" w:type="dxa"/>
              <w:left w:w="90" w:type="dxa"/>
              <w:bottom w:w="90" w:type="dxa"/>
              <w:right w:w="90" w:type="dxa"/>
            </w:tcMar>
            <w:vAlign w:val="center"/>
          </w:tcPr>
          <w:p w14:paraId="68246344" w14:textId="77777777" w:rsidR="00727F41" w:rsidRDefault="00485E89">
            <w:pPr>
              <w:keepNext/>
              <w:spacing w:before="60" w:after="60" w:line="278" w:lineRule="auto"/>
              <w:ind w:firstLine="0"/>
            </w:pPr>
            <w:r>
              <w:rPr>
                <w:b/>
                <w:sz w:val="20"/>
              </w:rPr>
              <w:t>评价对象</w:t>
            </w:r>
          </w:p>
        </w:tc>
        <w:tc>
          <w:tcPr>
            <w:tcW w:w="3888" w:type="dxa"/>
            <w:shd w:val="clear" w:color="auto" w:fill="E9EFF3"/>
            <w:tcMar>
              <w:top w:w="90" w:type="dxa"/>
              <w:left w:w="90" w:type="dxa"/>
              <w:bottom w:w="90" w:type="dxa"/>
              <w:right w:w="90" w:type="dxa"/>
            </w:tcMar>
            <w:vAlign w:val="center"/>
          </w:tcPr>
          <w:p w14:paraId="57010DC1" w14:textId="77777777" w:rsidR="00727F41" w:rsidRDefault="00485E89">
            <w:pPr>
              <w:keepNext/>
              <w:spacing w:before="60" w:after="60" w:line="278" w:lineRule="auto"/>
              <w:ind w:firstLine="0"/>
            </w:pPr>
            <w:r>
              <w:rPr>
                <w:b/>
                <w:sz w:val="20"/>
              </w:rPr>
              <w:t>不能单独推出的结论</w:t>
            </w:r>
          </w:p>
        </w:tc>
      </w:tr>
      <w:tr w:rsidR="00727F41" w14:paraId="1705F050" w14:textId="77777777">
        <w:trPr>
          <w:cantSplit/>
          <w:jc w:val="center"/>
        </w:trPr>
        <w:tc>
          <w:tcPr>
            <w:tcW w:w="2016" w:type="dxa"/>
            <w:shd w:val="clear" w:color="auto" w:fill="FFFFFF"/>
            <w:tcMar>
              <w:top w:w="90" w:type="dxa"/>
              <w:left w:w="90" w:type="dxa"/>
              <w:bottom w:w="90" w:type="dxa"/>
              <w:right w:w="90" w:type="dxa"/>
            </w:tcMar>
            <w:vAlign w:val="center"/>
          </w:tcPr>
          <w:p w14:paraId="784CCE2F" w14:textId="77777777" w:rsidR="00727F41" w:rsidRDefault="00485E89">
            <w:pPr>
              <w:spacing w:before="60" w:after="60" w:line="278" w:lineRule="auto"/>
              <w:ind w:firstLine="0"/>
              <w:jc w:val="center"/>
            </w:pPr>
            <w:r>
              <w:rPr>
                <w:sz w:val="20"/>
              </w:rPr>
              <w:t>分类准确率</w:t>
            </w:r>
          </w:p>
        </w:tc>
        <w:tc>
          <w:tcPr>
            <w:tcW w:w="3888" w:type="dxa"/>
            <w:shd w:val="clear" w:color="auto" w:fill="FFFFFF"/>
            <w:tcMar>
              <w:top w:w="90" w:type="dxa"/>
              <w:left w:w="90" w:type="dxa"/>
              <w:bottom w:w="90" w:type="dxa"/>
              <w:right w:w="90" w:type="dxa"/>
            </w:tcMar>
            <w:vAlign w:val="center"/>
          </w:tcPr>
          <w:p w14:paraId="358EEC5E" w14:textId="77777777" w:rsidR="00727F41" w:rsidRDefault="00485E89">
            <w:pPr>
              <w:spacing w:before="60" w:after="60" w:line="278" w:lineRule="auto"/>
              <w:ind w:firstLine="0"/>
            </w:pPr>
            <w:r>
              <w:rPr>
                <w:sz w:val="20"/>
              </w:rPr>
              <w:t>给定测试样本中类别判断的正确比例</w:t>
            </w:r>
          </w:p>
        </w:tc>
        <w:tc>
          <w:tcPr>
            <w:tcW w:w="3888" w:type="dxa"/>
            <w:shd w:val="clear" w:color="auto" w:fill="FFFFFF"/>
            <w:tcMar>
              <w:top w:w="90" w:type="dxa"/>
              <w:left w:w="90" w:type="dxa"/>
              <w:bottom w:w="90" w:type="dxa"/>
              <w:right w:w="90" w:type="dxa"/>
            </w:tcMar>
            <w:vAlign w:val="center"/>
          </w:tcPr>
          <w:p w14:paraId="470E9F66" w14:textId="77777777" w:rsidR="00727F41" w:rsidRDefault="00485E89">
            <w:pPr>
              <w:spacing w:before="60" w:after="60" w:line="278" w:lineRule="auto"/>
              <w:ind w:firstLine="0"/>
            </w:pPr>
            <w:r>
              <w:rPr>
                <w:sz w:val="20"/>
              </w:rPr>
              <w:t>概率可靠或跨条件有效</w:t>
            </w:r>
          </w:p>
        </w:tc>
      </w:tr>
      <w:tr w:rsidR="00727F41" w14:paraId="0C1911F3" w14:textId="77777777">
        <w:trPr>
          <w:cantSplit/>
          <w:jc w:val="center"/>
        </w:trPr>
        <w:tc>
          <w:tcPr>
            <w:tcW w:w="2016" w:type="dxa"/>
            <w:shd w:val="clear" w:color="auto" w:fill="F8FAFC"/>
            <w:tcMar>
              <w:top w:w="90" w:type="dxa"/>
              <w:left w:w="90" w:type="dxa"/>
              <w:bottom w:w="90" w:type="dxa"/>
              <w:right w:w="90" w:type="dxa"/>
            </w:tcMar>
            <w:vAlign w:val="center"/>
          </w:tcPr>
          <w:p w14:paraId="59E0E1E3" w14:textId="77777777" w:rsidR="00727F41" w:rsidRDefault="00485E89">
            <w:pPr>
              <w:spacing w:before="60" w:after="60" w:line="278" w:lineRule="auto"/>
              <w:ind w:firstLine="0"/>
              <w:jc w:val="center"/>
            </w:pPr>
            <w:r>
              <w:rPr>
                <w:sz w:val="20"/>
              </w:rPr>
              <w:t>概率校准</w:t>
            </w:r>
          </w:p>
        </w:tc>
        <w:tc>
          <w:tcPr>
            <w:tcW w:w="3888" w:type="dxa"/>
            <w:shd w:val="clear" w:color="auto" w:fill="F8FAFC"/>
            <w:tcMar>
              <w:top w:w="90" w:type="dxa"/>
              <w:left w:w="90" w:type="dxa"/>
              <w:bottom w:w="90" w:type="dxa"/>
              <w:right w:w="90" w:type="dxa"/>
            </w:tcMar>
            <w:vAlign w:val="center"/>
          </w:tcPr>
          <w:p w14:paraId="23469D7B" w14:textId="77777777" w:rsidR="00727F41" w:rsidRDefault="00485E89">
            <w:pPr>
              <w:spacing w:before="60" w:after="60" w:line="278" w:lineRule="auto"/>
              <w:ind w:firstLine="0"/>
            </w:pPr>
            <w:r>
              <w:rPr>
                <w:sz w:val="20"/>
              </w:rPr>
              <w:t>预测概率与相应经验频率的一致性</w:t>
            </w:r>
          </w:p>
        </w:tc>
        <w:tc>
          <w:tcPr>
            <w:tcW w:w="3888" w:type="dxa"/>
            <w:shd w:val="clear" w:color="auto" w:fill="F8FAFC"/>
            <w:tcMar>
              <w:top w:w="90" w:type="dxa"/>
              <w:left w:w="90" w:type="dxa"/>
              <w:bottom w:w="90" w:type="dxa"/>
              <w:right w:w="90" w:type="dxa"/>
            </w:tcMar>
            <w:vAlign w:val="center"/>
          </w:tcPr>
          <w:p w14:paraId="67142D41" w14:textId="77777777" w:rsidR="00727F41" w:rsidRDefault="00485E89">
            <w:pPr>
              <w:spacing w:before="60" w:after="60" w:line="278" w:lineRule="auto"/>
              <w:ind w:firstLine="0"/>
            </w:pPr>
            <w:r>
              <w:rPr>
                <w:sz w:val="20"/>
              </w:rPr>
              <w:t>每个样品正确或必然域内</w:t>
            </w:r>
          </w:p>
        </w:tc>
      </w:tr>
      <w:tr w:rsidR="00727F41" w14:paraId="44C7576B" w14:textId="77777777">
        <w:trPr>
          <w:cantSplit/>
          <w:jc w:val="center"/>
        </w:trPr>
        <w:tc>
          <w:tcPr>
            <w:tcW w:w="2016" w:type="dxa"/>
            <w:shd w:val="clear" w:color="auto" w:fill="FFFFFF"/>
            <w:tcMar>
              <w:top w:w="90" w:type="dxa"/>
              <w:left w:w="90" w:type="dxa"/>
              <w:bottom w:w="90" w:type="dxa"/>
              <w:right w:w="90" w:type="dxa"/>
            </w:tcMar>
            <w:vAlign w:val="center"/>
          </w:tcPr>
          <w:p w14:paraId="38D24A01" w14:textId="77777777" w:rsidR="00727F41" w:rsidRDefault="00485E89">
            <w:pPr>
              <w:spacing w:before="60" w:after="60" w:line="278" w:lineRule="auto"/>
              <w:ind w:firstLine="0"/>
              <w:jc w:val="center"/>
            </w:pPr>
            <w:r>
              <w:rPr>
                <w:sz w:val="20"/>
              </w:rPr>
              <w:t>预测覆盖</w:t>
            </w:r>
          </w:p>
        </w:tc>
        <w:tc>
          <w:tcPr>
            <w:tcW w:w="3888" w:type="dxa"/>
            <w:shd w:val="clear" w:color="auto" w:fill="FFFFFF"/>
            <w:tcMar>
              <w:top w:w="90" w:type="dxa"/>
              <w:left w:w="90" w:type="dxa"/>
              <w:bottom w:w="90" w:type="dxa"/>
              <w:right w:w="90" w:type="dxa"/>
            </w:tcMar>
            <w:vAlign w:val="center"/>
          </w:tcPr>
          <w:p w14:paraId="766DE113" w14:textId="77777777" w:rsidR="00727F41" w:rsidRDefault="00485E89">
            <w:pPr>
              <w:spacing w:before="60" w:after="60" w:line="278" w:lineRule="auto"/>
              <w:ind w:firstLine="0"/>
            </w:pPr>
            <w:r>
              <w:rPr>
                <w:sz w:val="20"/>
              </w:rPr>
              <w:t>真实标签或数值是否落入集合或区间</w:t>
            </w:r>
          </w:p>
        </w:tc>
        <w:tc>
          <w:tcPr>
            <w:tcW w:w="3888" w:type="dxa"/>
            <w:shd w:val="clear" w:color="auto" w:fill="FFFFFF"/>
            <w:tcMar>
              <w:top w:w="90" w:type="dxa"/>
              <w:left w:w="90" w:type="dxa"/>
              <w:bottom w:w="90" w:type="dxa"/>
              <w:right w:w="90" w:type="dxa"/>
            </w:tcMar>
            <w:vAlign w:val="center"/>
          </w:tcPr>
          <w:p w14:paraId="70609880" w14:textId="77777777" w:rsidR="00727F41" w:rsidRDefault="00485E89">
            <w:pPr>
              <w:spacing w:before="60" w:after="60" w:line="278" w:lineRule="auto"/>
              <w:ind w:firstLine="0"/>
            </w:pPr>
            <w:r>
              <w:rPr>
                <w:sz w:val="20"/>
              </w:rPr>
              <w:t>集合足够小或逐样品保证</w:t>
            </w:r>
          </w:p>
        </w:tc>
      </w:tr>
      <w:tr w:rsidR="00727F41" w14:paraId="4D124494" w14:textId="77777777">
        <w:trPr>
          <w:cantSplit/>
          <w:jc w:val="center"/>
        </w:trPr>
        <w:tc>
          <w:tcPr>
            <w:tcW w:w="2016" w:type="dxa"/>
            <w:shd w:val="clear" w:color="auto" w:fill="F8FAFC"/>
            <w:tcMar>
              <w:top w:w="90" w:type="dxa"/>
              <w:left w:w="90" w:type="dxa"/>
              <w:bottom w:w="90" w:type="dxa"/>
              <w:right w:w="90" w:type="dxa"/>
            </w:tcMar>
            <w:vAlign w:val="center"/>
          </w:tcPr>
          <w:p w14:paraId="2E717385" w14:textId="77777777" w:rsidR="00727F41" w:rsidRDefault="00485E89">
            <w:pPr>
              <w:spacing w:before="60" w:after="60" w:line="278" w:lineRule="auto"/>
              <w:ind w:firstLine="0"/>
              <w:jc w:val="center"/>
            </w:pPr>
            <w:r>
              <w:rPr>
                <w:sz w:val="20"/>
              </w:rPr>
              <w:t>适用域</w:t>
            </w:r>
          </w:p>
        </w:tc>
        <w:tc>
          <w:tcPr>
            <w:tcW w:w="3888" w:type="dxa"/>
            <w:shd w:val="clear" w:color="auto" w:fill="F8FAFC"/>
            <w:tcMar>
              <w:top w:w="90" w:type="dxa"/>
              <w:left w:w="90" w:type="dxa"/>
              <w:bottom w:w="90" w:type="dxa"/>
              <w:right w:w="90" w:type="dxa"/>
            </w:tcMar>
            <w:vAlign w:val="center"/>
          </w:tcPr>
          <w:p w14:paraId="51699260" w14:textId="77777777" w:rsidR="00727F41" w:rsidRDefault="00485E89">
            <w:pPr>
              <w:spacing w:before="60" w:after="60" w:line="278" w:lineRule="auto"/>
              <w:ind w:firstLine="0"/>
            </w:pPr>
            <w:r>
              <w:rPr>
                <w:sz w:val="20"/>
              </w:rPr>
              <w:t>新输入与建模支持范围的关系</w:t>
            </w:r>
          </w:p>
        </w:tc>
        <w:tc>
          <w:tcPr>
            <w:tcW w:w="3888" w:type="dxa"/>
            <w:shd w:val="clear" w:color="auto" w:fill="F8FAFC"/>
            <w:tcMar>
              <w:top w:w="90" w:type="dxa"/>
              <w:left w:w="90" w:type="dxa"/>
              <w:bottom w:w="90" w:type="dxa"/>
              <w:right w:w="90" w:type="dxa"/>
            </w:tcMar>
            <w:vAlign w:val="center"/>
          </w:tcPr>
          <w:p w14:paraId="5A215DA4" w14:textId="77777777" w:rsidR="00727F41" w:rsidRDefault="00485E89">
            <w:pPr>
              <w:spacing w:before="60" w:after="60" w:line="278" w:lineRule="auto"/>
              <w:ind w:firstLine="0"/>
            </w:pPr>
            <w:r>
              <w:rPr>
                <w:sz w:val="20"/>
              </w:rPr>
              <w:t>域内必对或域外必错</w:t>
            </w:r>
          </w:p>
        </w:tc>
      </w:tr>
      <w:tr w:rsidR="00727F41" w14:paraId="4FB6C9CB" w14:textId="77777777">
        <w:trPr>
          <w:cantSplit/>
          <w:jc w:val="center"/>
        </w:trPr>
        <w:tc>
          <w:tcPr>
            <w:tcW w:w="2016" w:type="dxa"/>
            <w:shd w:val="clear" w:color="auto" w:fill="FFFFFF"/>
            <w:tcMar>
              <w:top w:w="90" w:type="dxa"/>
              <w:left w:w="90" w:type="dxa"/>
              <w:bottom w:w="90" w:type="dxa"/>
              <w:right w:w="90" w:type="dxa"/>
            </w:tcMar>
            <w:vAlign w:val="center"/>
          </w:tcPr>
          <w:p w14:paraId="50DDC01A" w14:textId="77777777" w:rsidR="00727F41" w:rsidRDefault="00485E89">
            <w:pPr>
              <w:spacing w:before="60" w:after="60" w:line="278" w:lineRule="auto"/>
              <w:ind w:firstLine="0"/>
              <w:jc w:val="center"/>
            </w:pPr>
            <w:r>
              <w:rPr>
                <w:sz w:val="20"/>
              </w:rPr>
              <w:t>拒识接受率</w:t>
            </w:r>
          </w:p>
        </w:tc>
        <w:tc>
          <w:tcPr>
            <w:tcW w:w="3888" w:type="dxa"/>
            <w:shd w:val="clear" w:color="auto" w:fill="FFFFFF"/>
            <w:tcMar>
              <w:top w:w="90" w:type="dxa"/>
              <w:left w:w="90" w:type="dxa"/>
              <w:bottom w:w="90" w:type="dxa"/>
              <w:right w:w="90" w:type="dxa"/>
            </w:tcMar>
            <w:vAlign w:val="center"/>
          </w:tcPr>
          <w:p w14:paraId="661F7338" w14:textId="77777777" w:rsidR="00727F41" w:rsidRDefault="00485E89">
            <w:pPr>
              <w:spacing w:before="60" w:after="60" w:line="278" w:lineRule="auto"/>
              <w:ind w:firstLine="0"/>
            </w:pPr>
            <w:r>
              <w:rPr>
                <w:sz w:val="20"/>
              </w:rPr>
              <w:t>全部输入中系统选择作答的比例</w:t>
            </w:r>
          </w:p>
        </w:tc>
        <w:tc>
          <w:tcPr>
            <w:tcW w:w="3888" w:type="dxa"/>
            <w:shd w:val="clear" w:color="auto" w:fill="FFFFFF"/>
            <w:tcMar>
              <w:top w:w="90" w:type="dxa"/>
              <w:left w:w="90" w:type="dxa"/>
              <w:bottom w:w="90" w:type="dxa"/>
              <w:right w:w="90" w:type="dxa"/>
            </w:tcMar>
            <w:vAlign w:val="center"/>
          </w:tcPr>
          <w:p w14:paraId="5F941A03" w14:textId="77777777" w:rsidR="00727F41" w:rsidRDefault="00485E89">
            <w:pPr>
              <w:spacing w:before="60" w:after="60" w:line="278" w:lineRule="auto"/>
              <w:ind w:firstLine="0"/>
            </w:pPr>
            <w:r>
              <w:rPr>
                <w:sz w:val="20"/>
              </w:rPr>
              <w:t>被接受预测必然可靠</w:t>
            </w:r>
          </w:p>
        </w:tc>
      </w:tr>
      <w:tr w:rsidR="00727F41" w14:paraId="2131ED82" w14:textId="77777777">
        <w:trPr>
          <w:cantSplit/>
          <w:jc w:val="center"/>
        </w:trPr>
        <w:tc>
          <w:tcPr>
            <w:tcW w:w="2016" w:type="dxa"/>
            <w:shd w:val="clear" w:color="auto" w:fill="F8FAFC"/>
            <w:tcMar>
              <w:top w:w="90" w:type="dxa"/>
              <w:left w:w="90" w:type="dxa"/>
              <w:bottom w:w="90" w:type="dxa"/>
              <w:right w:w="90" w:type="dxa"/>
            </w:tcMar>
            <w:vAlign w:val="center"/>
          </w:tcPr>
          <w:p w14:paraId="32684F62" w14:textId="77777777" w:rsidR="00727F41" w:rsidRDefault="00485E89">
            <w:pPr>
              <w:spacing w:before="60" w:after="60" w:line="278" w:lineRule="auto"/>
              <w:ind w:firstLine="0"/>
              <w:jc w:val="center"/>
            </w:pPr>
            <w:r>
              <w:rPr>
                <w:sz w:val="20"/>
              </w:rPr>
              <w:t>测量精密度</w:t>
            </w:r>
          </w:p>
        </w:tc>
        <w:tc>
          <w:tcPr>
            <w:tcW w:w="3888" w:type="dxa"/>
            <w:shd w:val="clear" w:color="auto" w:fill="F8FAFC"/>
            <w:tcMar>
              <w:top w:w="90" w:type="dxa"/>
              <w:left w:w="90" w:type="dxa"/>
              <w:bottom w:w="90" w:type="dxa"/>
              <w:right w:w="90" w:type="dxa"/>
            </w:tcMar>
            <w:vAlign w:val="center"/>
          </w:tcPr>
          <w:p w14:paraId="66BA25E3" w14:textId="77777777" w:rsidR="00727F41" w:rsidRDefault="00485E89">
            <w:pPr>
              <w:spacing w:before="60" w:after="60" w:line="278" w:lineRule="auto"/>
              <w:ind w:firstLine="0"/>
            </w:pPr>
            <w:r>
              <w:rPr>
                <w:sz w:val="20"/>
              </w:rPr>
              <w:t>规定条件下重复测量结果的一致程度</w:t>
            </w:r>
          </w:p>
        </w:tc>
        <w:tc>
          <w:tcPr>
            <w:tcW w:w="3888" w:type="dxa"/>
            <w:shd w:val="clear" w:color="auto" w:fill="F8FAFC"/>
            <w:tcMar>
              <w:top w:w="90" w:type="dxa"/>
              <w:left w:w="90" w:type="dxa"/>
              <w:bottom w:w="90" w:type="dxa"/>
              <w:right w:w="90" w:type="dxa"/>
            </w:tcMar>
            <w:vAlign w:val="center"/>
          </w:tcPr>
          <w:p w14:paraId="0E4C53A7" w14:textId="77777777" w:rsidR="00727F41" w:rsidRDefault="00485E89">
            <w:pPr>
              <w:spacing w:before="60" w:after="60" w:line="278" w:lineRule="auto"/>
              <w:ind w:firstLine="0"/>
            </w:pPr>
            <w:r>
              <w:rPr>
                <w:sz w:val="20"/>
              </w:rPr>
              <w:t>无偏或分类</w:t>
            </w:r>
            <w:r>
              <w:rPr>
                <w:sz w:val="20"/>
              </w:rPr>
              <w:t>precision</w:t>
            </w:r>
            <w:r>
              <w:rPr>
                <w:sz w:val="20"/>
              </w:rPr>
              <w:t>较高</w:t>
            </w:r>
          </w:p>
        </w:tc>
      </w:tr>
    </w:tbl>
    <w:p w14:paraId="137164C7" w14:textId="77777777" w:rsidR="00727F41" w:rsidRDefault="00727F41">
      <w:pPr>
        <w:spacing w:after="0"/>
      </w:pPr>
    </w:p>
    <w:p w14:paraId="0033E3E3" w14:textId="77777777" w:rsidR="00727F41" w:rsidRDefault="00485E89">
      <w:pPr>
        <w:pStyle w:val="21"/>
      </w:pPr>
      <w:bookmarkStart w:id="8" w:name="_Toc244165140"/>
      <w:r>
        <w:t xml:space="preserve">2.4 </w:t>
      </w:r>
      <w:r>
        <w:t>不确定度传播与蒙特卡洛方法</w:t>
      </w:r>
      <w:bookmarkEnd w:id="8"/>
    </w:p>
    <w:p w14:paraId="61BA3AC7" w14:textId="77777777" w:rsidR="00727F41" w:rsidRDefault="00485E89">
      <w:pPr>
        <w:jc w:val="both"/>
      </w:pPr>
      <w:r>
        <w:t>对定量测量模型</w:t>
      </w:r>
      <w:r>
        <w:t>Y=f(X)</w:t>
      </w:r>
      <w:r>
        <w:t>，在适当线性近似下，输入估计量的协方差可经灵敏度系数传播到输出方差。记</w:t>
      </w:r>
      <w:r>
        <w:t>J</w:t>
      </w:r>
      <w:r>
        <w:t>为模型在输入估计值处的梯度行向量，</w:t>
      </w:r>
      <w:r>
        <w:t>Σ</w:t>
      </w:r>
      <w:r>
        <w:t>为输入协方差矩阵，合成标准不确定度的近似关系为式（</w:t>
      </w:r>
      <w:r>
        <w:t>1</w:t>
      </w:r>
      <w:r>
        <w:t>）。相关输入的协方差不能在没有依据时忽略</w:t>
      </w:r>
      <w:r>
        <w:rPr>
          <w:sz w:val="18"/>
          <w:vertAlign w:val="superscript"/>
        </w:rPr>
        <w:t>[6]</w:t>
      </w:r>
      <w:r>
        <w:t>。</w:t>
      </w:r>
    </w:p>
    <w:p w14:paraId="406DD0CA" w14:textId="77777777" w:rsidR="00727F41" w:rsidRDefault="00770D9A">
      <w:pPr>
        <w:spacing w:before="100" w:after="160" w:line="264" w:lineRule="auto"/>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r>
          <w:rPr>
            <w:rFonts w:ascii="Cambria Math" w:hAnsi="Cambria Math"/>
          </w:rPr>
          <m:t>(y) ≈ JΣ</m:t>
        </m:r>
        <m:sSup>
          <m:sSupPr>
            <m:ctrlPr>
              <w:rPr>
                <w:rFonts w:ascii="Cambria Math" w:hAnsi="Cambria Math"/>
              </w:rPr>
            </m:ctrlPr>
          </m:sSupPr>
          <m:e>
            <m:r>
              <w:rPr>
                <w:rFonts w:ascii="Cambria Math" w:hAnsi="Cambria Math"/>
              </w:rPr>
              <m:t>J</m:t>
            </m:r>
          </m:e>
          <m:sup>
            <m:r>
              <w:rPr>
                <w:rFonts w:ascii="Cambria Math" w:hAnsi="Cambria Math"/>
              </w:rPr>
              <m:t>T</m:t>
            </m:r>
          </m:sup>
        </m:sSup>
      </m:oMath>
      <w:r w:rsidR="00485E89">
        <w:t xml:space="preserve">    (1)</w:t>
      </w:r>
    </w:p>
    <w:p w14:paraId="4FEFBE35" w14:textId="77777777" w:rsidR="00727F41" w:rsidRDefault="00485E89">
      <w:pPr>
        <w:jc w:val="both"/>
      </w:pPr>
      <w:r>
        <w:t>当非线性或分布形状使近似不充分时，可依据输入量的联合分布抽样，经测量模型计算输出，并概括输出分布。蒙特卡洛抽样增加的是数值传播能力，不会自动修正错误输入分布或遗漏的模型项</w:t>
      </w:r>
      <w:r>
        <w:rPr>
          <w:sz w:val="18"/>
          <w:vertAlign w:val="superscript"/>
        </w:rPr>
        <w:t>[7]</w:t>
      </w:r>
      <w:r>
        <w:t>。</w:t>
      </w:r>
      <w:r>
        <w:t xml:space="preserve"> </w:t>
      </w:r>
      <w:r>
        <w:t>对光谱分类器实施噪声扰动可以作为局部敏感性检查，但若扰动只覆盖某一仪器噪声设定，其结果就不能称为完整测量链的不确定度评定。</w:t>
      </w:r>
    </w:p>
    <w:p w14:paraId="3B60D584" w14:textId="77777777" w:rsidR="00727F41" w:rsidRDefault="00485E89">
      <w:pPr>
        <w:pStyle w:val="1"/>
      </w:pPr>
      <w:bookmarkStart w:id="9" w:name="_Toc244165141"/>
      <w:r>
        <w:t>三、概率校准与共形预测</w:t>
      </w:r>
      <w:bookmarkEnd w:id="9"/>
    </w:p>
    <w:p w14:paraId="0CEBEFC4" w14:textId="77777777" w:rsidR="00727F41" w:rsidRDefault="00485E89">
      <w:pPr>
        <w:pStyle w:val="21"/>
      </w:pPr>
      <w:bookmarkStart w:id="10" w:name="_Toc244165142"/>
      <w:r>
        <w:t xml:space="preserve">3.1 </w:t>
      </w:r>
      <w:r>
        <w:t>分类正确性与概率可靠性</w:t>
      </w:r>
      <w:bookmarkEnd w:id="10"/>
    </w:p>
    <w:p w14:paraId="5259D844" w14:textId="77777777" w:rsidR="00727F41" w:rsidRDefault="00485E89">
      <w:pPr>
        <w:jc w:val="both"/>
      </w:pPr>
      <w:r>
        <w:t>概率校准考察预测概率与相应事件发生频率是否一致。例如，在明确的数据条件下，被赋予约</w:t>
      </w:r>
      <w:r>
        <w:t>0.8</w:t>
      </w:r>
      <w:r>
        <w:t>最高类别概率的一组样品，其实际正确比例是否接近</w:t>
      </w:r>
      <w:r>
        <w:t>0.8</w:t>
      </w:r>
      <w:r>
        <w:t>。这里的</w:t>
      </w:r>
      <w:r>
        <w:t>0.8</w:t>
      </w:r>
      <w:r>
        <w:t>用于解释定义，不是本文实验结果。有限样本会产生频率波动，而且总体校准不能自动推出每个类别、批次或基质子群均同样校准</w:t>
      </w:r>
      <w:r>
        <w:rPr>
          <w:sz w:val="18"/>
          <w:vertAlign w:val="superscript"/>
        </w:rPr>
        <w:t>[3]</w:t>
      </w:r>
      <w:r>
        <w:t>。</w:t>
      </w:r>
    </w:p>
    <w:p w14:paraId="5BCA8D08" w14:textId="77777777" w:rsidR="00727F41" w:rsidRDefault="00485E89">
      <w:pPr>
        <w:jc w:val="both"/>
      </w:pPr>
      <w:r>
        <w:t>校准评价应同时保留分类结果和概率结果。可靠性图将分箱后的平均概率与平均正确率进行比较，还应给出每箱样本量。期望校准误差（</w:t>
      </w:r>
      <w:r>
        <w:t>expected calibration error</w:t>
      </w:r>
      <w:r>
        <w:t>，</w:t>
      </w:r>
      <w:r>
        <w:t>ECE</w:t>
      </w:r>
      <w:r>
        <w:t>）常按箱内差值加权汇总，但其大小会受分箱数、边界与样本量影响，不能脱离设置直接比较不同研究。对样本较少的子群，可靠性图的起伏也需要结合统计波动解释</w:t>
      </w:r>
      <w:r>
        <w:rPr>
          <w:sz w:val="18"/>
          <w:vertAlign w:val="superscript"/>
        </w:rPr>
        <w:t>[3]</w:t>
      </w:r>
      <w:r>
        <w:t>。</w:t>
      </w:r>
    </w:p>
    <w:p w14:paraId="04914E11" w14:textId="77777777" w:rsidR="00727F41" w:rsidRDefault="00485E89">
      <w:pPr>
        <w:pStyle w:val="21"/>
      </w:pPr>
      <w:bookmarkStart w:id="11" w:name="_Toc244165143"/>
      <w:r>
        <w:lastRenderedPageBreak/>
        <w:t xml:space="preserve">3.2 </w:t>
      </w:r>
      <w:r>
        <w:t>温度缩放与评价指标</w:t>
      </w:r>
      <w:bookmarkEnd w:id="11"/>
    </w:p>
    <w:p w14:paraId="556C93B4" w14:textId="77777777" w:rsidR="00727F41" w:rsidRDefault="00485E89">
      <w:pPr>
        <w:jc w:val="both"/>
      </w:pPr>
      <w:r>
        <w:t>温度缩放对固定模型的未归一化类别得分（</w:t>
      </w:r>
      <w:r>
        <w:t>logits</w:t>
      </w:r>
      <w:r>
        <w:t>）采用共同正温度</w:t>
      </w:r>
      <w:r>
        <w:t>T</w:t>
      </w:r>
      <w:r>
        <w:t>，得到式（</w:t>
      </w:r>
      <w:r>
        <w:t>2</w:t>
      </w:r>
      <w:r>
        <w:t>）的概率。式中</w:t>
      </w:r>
      <w:r>
        <w:t>K</w:t>
      </w:r>
      <w:r>
        <w:t>为类别数，</w:t>
      </w:r>
      <w:r>
        <w:t>zₖ</w:t>
      </w:r>
      <w:r>
        <w:t>为第</w:t>
      </w:r>
      <w:r>
        <w:t>k</w:t>
      </w:r>
      <w:r>
        <w:t>类得分。</w:t>
      </w:r>
      <w:r>
        <w:t>T</w:t>
      </w:r>
      <w:r>
        <w:t>在训练之外的数据上拟合，最终测试数据不参与其选择。由于除以正数不改变</w:t>
      </w:r>
      <w:r>
        <w:t>logits</w:t>
      </w:r>
      <w:r>
        <w:t>的类别排序，该方法保持</w:t>
      </w:r>
      <w:r>
        <w:t>argmax</w:t>
      </w:r>
      <w:r>
        <w:t>及分类准确率不变；改变的是概率分配。这个结论不适用于任意类别特异变换或重新训练模型的情形</w:t>
      </w:r>
      <w:r>
        <w:rPr>
          <w:sz w:val="18"/>
          <w:vertAlign w:val="superscript"/>
        </w:rPr>
        <w:t>[3]</w:t>
      </w:r>
      <w:r>
        <w:t>。</w:t>
      </w:r>
    </w:p>
    <w:p w14:paraId="416B3CB4" w14:textId="77777777" w:rsidR="00727F41" w:rsidRDefault="00770D9A">
      <w:pPr>
        <w:spacing w:before="100" w:after="160" w:line="264" w:lineRule="auto"/>
        <w:ind w:firstLine="0"/>
        <w:jc w:val="center"/>
      </w:pP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(k | x) = </m:t>
        </m:r>
        <m:f>
          <m:fPr>
            <m:ctrlPr>
              <w:rPr>
                <w:rFonts w:ascii="Cambria Math" w:hAnsi="Cambria Math"/>
              </w:rPr>
            </m:ctrlPr>
          </m:fPr>
          <m:num>
            <m: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k</m:t>
                    </m:r>
                  </m:sub>
                </m:sSub>
              </m:num>
              <m:den>
                <m:r>
                  <w:rPr>
                    <w:rFonts w:ascii="Cambria Math" w:hAnsi="Cambria Math"/>
                  </w:rPr>
                  <m:t>T</m:t>
                </m:r>
              </m:den>
            </m:f>
            <m:r>
              <w:rPr>
                <w:rFonts w:ascii="Cambria Math" w:hAnsi="Cambria Math"/>
              </w:rPr>
              <m:t>)</m:t>
            </m:r>
          </m:num>
          <m:den>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r>
                  <w:rPr>
                    <w:rFonts w:ascii="Cambria Math" w:hAnsi="Cambria Math"/>
                  </w:rPr>
                  <m:t>)</m:t>
                </m:r>
              </m:e>
            </m:nary>
          </m:den>
        </m:f>
        <m:r>
          <w:rPr>
            <w:rFonts w:ascii="Cambria Math" w:hAnsi="Cambria Math"/>
          </w:rPr>
          <m:t>,   T &gt; 0</m:t>
        </m:r>
      </m:oMath>
      <w:r w:rsidR="00485E89">
        <w:t xml:space="preserve">    (2)</w:t>
      </w:r>
    </w:p>
    <w:p w14:paraId="4A0496D6" w14:textId="77777777" w:rsidR="00727F41" w:rsidRDefault="00485E89">
      <w:pPr>
        <w:jc w:val="both"/>
      </w:pPr>
      <w:r>
        <w:t>若以负对数似然（</w:t>
      </w:r>
      <w:r>
        <w:t>negative log-likelihood</w:t>
      </w:r>
      <w:r>
        <w:t>，</w:t>
      </w:r>
      <w:r>
        <w:t>NLL</w:t>
      </w:r>
      <w:r>
        <w:t>）评价真实标签得到的概率，概率极低的错误预测会受到较大惩罚。多分类</w:t>
      </w:r>
      <w:r>
        <w:t>Brier</w:t>
      </w:r>
      <w:r>
        <w:t>分数则累计各类别概率与独热标签的平方差。本文采用不额外除以类别数</w:t>
      </w:r>
      <w:r>
        <w:t>K</w:t>
      </w:r>
      <w:r>
        <w:t>的定义，如式（</w:t>
      </w:r>
      <w:r>
        <w:t>3</w:t>
      </w:r>
      <w:r>
        <w:t>）所示；其中</w:t>
      </w:r>
      <w:r>
        <w:t>pᵢₖ</w:t>
      </w:r>
      <w:r>
        <w:t>为样品</w:t>
      </w:r>
      <w:r>
        <w:t>i</w:t>
      </w:r>
      <w:r>
        <w:t>属于第</w:t>
      </w:r>
      <w:r>
        <w:t>k</w:t>
      </w:r>
      <w:r>
        <w:t>类的预测概率，指示函数在</w:t>
      </w:r>
      <m:oMath>
        <m:sSub>
          <m:sSubPr>
            <m:ctrlPr>
              <w:rPr>
                <w:rFonts w:ascii="Cambria Math" w:hAnsi="Cambria Math"/>
              </w:rPr>
            </m:ctrlPr>
          </m:sSubPr>
          <m:e>
            <m:r>
              <w:rPr>
                <w:rFonts w:ascii="Cambria Math" w:hAnsi="Cambria Math"/>
              </w:rPr>
              <m:t>y</m:t>
            </m:r>
          </m:e>
          <m:sub>
            <m:r>
              <w:rPr>
                <w:rFonts w:ascii="Cambria Math" w:hAnsi="Cambria Math"/>
              </w:rPr>
              <m:t>i</m:t>
            </m:r>
          </m:sub>
        </m:sSub>
      </m:oMath>
      <w:r>
        <w:t>=k</w:t>
      </w:r>
      <w:r>
        <w:t>时取</w:t>
      </w:r>
      <w:r>
        <w:t>1</w:t>
      </w:r>
      <w:r>
        <w:t>，否则取</w:t>
      </w:r>
      <w:r>
        <w:t>0</w:t>
      </w:r>
      <w:r>
        <w:t>；比较其他研究时应先核对归一化约定。这两项评价概率预测的整体质量，不能全部解释为纯校准误差</w:t>
      </w:r>
      <w:r>
        <w:rPr>
          <w:sz w:val="18"/>
          <w:vertAlign w:val="superscript"/>
        </w:rPr>
        <w:t>[4]</w:t>
      </w:r>
      <w:r>
        <w:t>。</w:t>
      </w:r>
    </w:p>
    <w:p w14:paraId="2D1B7A97" w14:textId="77777777" w:rsidR="00727F41" w:rsidRDefault="00485E89">
      <w:pPr>
        <w:spacing w:before="100" w:after="160" w:line="264" w:lineRule="auto"/>
        <w:ind w:firstLine="0"/>
        <w:jc w:val="center"/>
      </w:pPr>
      <m:oMath>
        <m:r>
          <w:rPr>
            <w:rFonts w:ascii="Cambria Math" w:hAnsi="Cambria Math"/>
          </w:rPr>
          <m:t xml:space="preserve">BS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 xml:space="preserve"> - 1(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k))</m:t>
                    </m:r>
                  </m:e>
                  <m:sup>
                    <m:r>
                      <w:rPr>
                        <w:rFonts w:ascii="Cambria Math" w:hAnsi="Cambria Math"/>
                      </w:rPr>
                      <m:t>2</m:t>
                    </m:r>
                  </m:sup>
                </m:sSup>
              </m:e>
            </m:nary>
          </m:e>
        </m:nary>
      </m:oMath>
      <w:r>
        <w:t xml:space="preserve">    (3)</w:t>
      </w:r>
    </w:p>
    <w:p w14:paraId="123ACD72" w14:textId="77777777" w:rsidR="00727F41" w:rsidRDefault="00485E89">
      <w:pPr>
        <w:jc w:val="both"/>
      </w:pPr>
      <w:r>
        <w:t>校准前后的对照应使用同一最终测试边界，报告准确率、</w:t>
      </w:r>
      <w:r>
        <w:t>NLL</w:t>
      </w:r>
      <w:r>
        <w:t>、</w:t>
      </w:r>
      <w:r>
        <w:t>Brier</w:t>
      </w:r>
      <w:r>
        <w:t>分数和可靠性图。若模型在已有分布上概率得到改善，还需分别考察这种变化在新批次或扰动条件下是否保持。</w:t>
      </w:r>
      <w:r>
        <w:t>Ovadia</w:t>
      </w:r>
      <w:r>
        <w:t>等的研究表明，原分布上的校准不能直接作为偏移分布上的保证</w:t>
      </w:r>
      <w:r>
        <w:rPr>
          <w:sz w:val="18"/>
          <w:vertAlign w:val="superscript"/>
        </w:rPr>
        <w:t>[4]</w:t>
      </w:r>
      <w:r>
        <w:t>。</w:t>
      </w:r>
    </w:p>
    <w:p w14:paraId="74E8590A" w14:textId="77777777" w:rsidR="00727F41" w:rsidRDefault="00485E89">
      <w:pPr>
        <w:pStyle w:val="21"/>
      </w:pPr>
      <w:bookmarkStart w:id="12" w:name="_Toc244165144"/>
      <w:r>
        <w:t xml:space="preserve">3.3 </w:t>
      </w:r>
      <w:r>
        <w:t>共形预测与边际覆盖</w:t>
      </w:r>
      <w:bookmarkEnd w:id="12"/>
    </w:p>
    <w:p w14:paraId="10ACD18B" w14:textId="77777777" w:rsidR="00727F41" w:rsidRDefault="00485E89">
      <w:pPr>
        <w:jc w:val="both"/>
      </w:pPr>
      <w:r>
        <w:t>共形预测使用校准数据确定分数阈值，再为新样品构造预测集合或区间。以一个简单分类方案为例，固定模型后，定义非一致性分数</w:t>
      </w:r>
      <m:oMath>
        <m:sSub>
          <m:sSubPr>
            <m:ctrlPr>
              <w:rPr>
                <w:rFonts w:ascii="Cambria Math" w:hAnsi="Cambria Math"/>
              </w:rPr>
            </m:ctrlPr>
          </m:sSubPr>
          <m:e>
            <m:r>
              <w:rPr>
                <w:rFonts w:ascii="Cambria Math" w:hAnsi="Cambria Math"/>
              </w:rPr>
              <m:t>s</m:t>
            </m:r>
          </m:e>
          <m:sub>
            <m:r>
              <w:rPr>
                <w:rFonts w:ascii="Cambria Math" w:hAnsi="Cambria Math"/>
              </w:rPr>
              <m:t>i</m:t>
            </m:r>
          </m:sub>
        </m:sSub>
      </m:oMath>
      <w:r>
        <w:t>=1−p(</w:t>
      </w:r>
      <m:oMath>
        <m:sSub>
          <m:sSubPr>
            <m:ctrlPr>
              <w:rPr>
                <w:rFonts w:ascii="Cambria Math" w:hAnsi="Cambria Math"/>
              </w:rPr>
            </m:ctrlPr>
          </m:sSubPr>
          <m:e>
            <m:r>
              <w:rPr>
                <w:rFonts w:ascii="Cambria Math" w:hAnsi="Cambria Math"/>
              </w:rPr>
              <m:t>y</m:t>
            </m:r>
          </m:e>
          <m:sub>
            <m:r>
              <w:rPr>
                <w:rFonts w:ascii="Cambria Math" w:hAnsi="Cambria Math"/>
              </w:rPr>
              <m:t>i</m:t>
            </m:r>
          </m:sub>
        </m:sSub>
      </m:oMath>
      <w: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w:r>
        <w:t>，分数越大表示模型给真实类别的支持越弱。对于</w:t>
      </w:r>
      <w:r>
        <w:t>n</w:t>
      </w:r>
      <w:r>
        <w:t>个校准样本，在给定名义错误水平</w:t>
      </w:r>
      <w:r>
        <w:t>0</w:t>
      </w:r>
      <w:r>
        <w:t>＜</w:t>
      </w:r>
      <w:r>
        <w:t>α</w:t>
      </w:r>
      <w:r>
        <w:t>＜</w:t>
      </w:r>
      <w:r>
        <w:t>1</w:t>
      </w:r>
      <w:r>
        <w:t>下取第</w:t>
      </w:r>
      <w:r>
        <w:t>ceil((n+1)(1−α))</w:t>
      </w:r>
      <w:r>
        <w:t>阶分数为阈值</w:t>
      </w:r>
      <w:r>
        <w:t>q</w:t>
      </w:r>
      <w:r>
        <w:t>；若该秩为</w:t>
      </w:r>
      <w:r>
        <w:t>n+1</w:t>
      </w:r>
      <w:r>
        <w:t>，则依相应约定取无穷大，不能随意截断后仍宣称相同保证</w:t>
      </w:r>
      <w:r>
        <w:rPr>
          <w:sz w:val="18"/>
          <w:vertAlign w:val="superscript"/>
        </w:rPr>
        <w:t>[9]</w:t>
      </w:r>
      <w:r>
        <w:t>。</w:t>
      </w:r>
    </w:p>
    <w:p w14:paraId="50EF6D2E" w14:textId="77777777" w:rsidR="00727F41" w:rsidRDefault="00485E89">
      <w:pPr>
        <w:jc w:val="both"/>
      </w:pPr>
      <w:r>
        <w:t>新样品的预测集合及其边际覆盖结论可表示为式（</w:t>
      </w:r>
      <w:r>
        <w:t>4</w:t>
      </w:r>
      <w:r>
        <w:t>）。下界需要数据交换性等相应条件，通常可由独立同分布的标准设置满足；模型和分数函数的拟合方式也必须符合算法要求。概率校准并非该分数获得边际覆盖的必要前提，但分数质量影响集合是否具有实际用途</w:t>
      </w:r>
      <w:r>
        <w:rPr>
          <w:sz w:val="18"/>
          <w:vertAlign w:val="superscript"/>
        </w:rPr>
        <w:t>[9]</w:t>
      </w:r>
      <w:r>
        <w:t>。</w:t>
      </w:r>
    </w:p>
    <w:p w14:paraId="0C3C5395" w14:textId="77777777" w:rsidR="00727F41" w:rsidRDefault="00485E89">
      <w:pPr>
        <w:spacing w:before="100" w:after="160" w:line="264" w:lineRule="auto"/>
        <w:ind w:firstLine="0"/>
        <w:jc w:val="center"/>
      </w:pPr>
      <m:oMath>
        <m:r>
          <w:rPr>
            <w:rFonts w:ascii="Cambria Math" w:hAnsi="Cambria Math"/>
          </w:rPr>
          <m:t>C(x) = {y : 1 - p(y | x) ≤ q},   Pr{Y ∈ C(X)} ≥ 1 - α</m:t>
        </m:r>
      </m:oMath>
      <w:r>
        <w:t xml:space="preserve">    (4)</w:t>
      </w:r>
    </w:p>
    <w:p w14:paraId="015F34C1" w14:textId="77777777" w:rsidR="00727F41" w:rsidRDefault="00485E89">
      <w:pPr>
        <w:jc w:val="both"/>
      </w:pPr>
      <w:r>
        <w:t>边际覆盖是关于校准样本与新样本随机性的总体陈述。它不是某一个给定样品有固定正确概率，也不自动保证每一类别和每一批次的条件覆盖。因此，经验评价应同时给出总体覆盖、分类别覆盖、集合大小及空集合和多标签集合比例；多标签集合说明尚不能唯一判别，不能直接计作与单标签误分类相同的事件</w:t>
      </w:r>
      <w:r>
        <w:rPr>
          <w:sz w:val="18"/>
          <w:vertAlign w:val="superscript"/>
        </w:rPr>
        <w:t>[9]</w:t>
      </w:r>
      <w:r>
        <w:t>。</w:t>
      </w:r>
    </w:p>
    <w:p w14:paraId="3C777760" w14:textId="77777777" w:rsidR="00727F41" w:rsidRDefault="00485E89">
      <w:pPr>
        <w:pStyle w:val="21"/>
      </w:pPr>
      <w:bookmarkStart w:id="13" w:name="_Toc244165145"/>
      <w:r>
        <w:lastRenderedPageBreak/>
        <w:t xml:space="preserve">3.4 </w:t>
      </w:r>
      <w:r>
        <w:t>依赖数据与覆盖边界</w:t>
      </w:r>
      <w:bookmarkEnd w:id="13"/>
    </w:p>
    <w:p w14:paraId="4E2B7E9C" w14:textId="77777777" w:rsidR="00727F41" w:rsidRDefault="00485E89">
      <w:pPr>
        <w:jc w:val="both"/>
      </w:pPr>
      <w:r>
        <w:t>重复采集、时间顺序与批次结构会使光谱数据偏离简单独立抽样情形。共形预测的扩展研究已讨论部分非交换过程，但额外保证需要额外条件。</w:t>
      </w:r>
      <w:r>
        <w:t>Oliveira</w:t>
      </w:r>
      <w:r>
        <w:t>等以校准经验分布的集中和测试分数的解耦等假设分析覆盖损失，并在平稳</w:t>
      </w:r>
      <w:r>
        <w:t>β</w:t>
      </w:r>
      <w:r>
        <w:t>混合等设置下进一步具体化。相关理论不能改写为对任意仪器漂移均保持精确覆盖</w:t>
      </w:r>
      <w:r>
        <w:rPr>
          <w:sz w:val="18"/>
          <w:vertAlign w:val="superscript"/>
        </w:rPr>
        <w:t>[10]</w:t>
      </w:r>
      <w:r>
        <w:t>。</w:t>
      </w:r>
    </w:p>
    <w:p w14:paraId="75A4F8B7" w14:textId="77777777" w:rsidR="00727F41" w:rsidRDefault="00485E89">
      <w:pPr>
        <w:jc w:val="both"/>
      </w:pPr>
      <w:r>
        <w:t>化学应用也应区分任务。</w:t>
      </w:r>
      <w:r>
        <w:t>Jovic</w:t>
      </w:r>
      <w:r>
        <w:t>将共形预测用于中红外食品掺假定量，</w:t>
      </w:r>
      <w:r>
        <w:t>Xu</w:t>
      </w:r>
      <w:r>
        <w:t>等研究定量构效关系（</w:t>
      </w:r>
      <w:r>
        <w:t>quantitative structure–activity relationship</w:t>
      </w:r>
      <w:r>
        <w:t>，</w:t>
      </w:r>
      <w:r>
        <w:t>QSAR</w:t>
      </w:r>
      <w:r>
        <w:t>）回归的共形方法；它们为化学领域的不确定度表达提供实例，却不直接证明特定光谱分类器在批次外推时有效</w:t>
      </w:r>
      <w:r>
        <w:rPr>
          <w:sz w:val="18"/>
          <w:vertAlign w:val="superscript"/>
        </w:rPr>
        <w:t>[11,12]</w:t>
      </w:r>
      <w:r>
        <w:t>。</w:t>
      </w:r>
      <w:r>
        <w:t xml:space="preserve"> </w:t>
      </w:r>
      <w:r>
        <w:t>若真实类别不在既定候选标签空间，已知标签的预测集合也无法包含该未知标签，此时还需要另行定义未知类检测及其评价。</w:t>
      </w:r>
    </w:p>
    <w:p w14:paraId="54E680B6" w14:textId="77777777" w:rsidR="00727F41" w:rsidRDefault="00485E89">
      <w:pPr>
        <w:pStyle w:val="1"/>
      </w:pPr>
      <w:bookmarkStart w:id="14" w:name="_Toc244165146"/>
      <w:r>
        <w:t>四、适用域检测与拒识策略</w:t>
      </w:r>
      <w:bookmarkEnd w:id="14"/>
    </w:p>
    <w:p w14:paraId="29E4A640" w14:textId="77777777" w:rsidR="00727F41" w:rsidRDefault="00485E89">
      <w:pPr>
        <w:pStyle w:val="21"/>
      </w:pPr>
      <w:bookmarkStart w:id="15" w:name="_Toc244165147"/>
      <w:r>
        <w:t xml:space="preserve">4.1 </w:t>
      </w:r>
      <w:r>
        <w:t>分析模型的适用域</w:t>
      </w:r>
      <w:bookmarkEnd w:id="15"/>
    </w:p>
    <w:p w14:paraId="43CAC0D0" w14:textId="77777777" w:rsidR="00727F41" w:rsidRDefault="00485E89">
      <w:pPr>
        <w:jc w:val="both"/>
      </w:pPr>
      <w:r>
        <w:t>适用域描述模型得到数据支持的范围，既包括特征空间结构，也涉及样品类型、基质、测量程序和目标任务。统计距离可以提供范围检查，但相同距离在不同表示空间中含义不同。异常样品、被误分类样品和域外样品之间也没有一一对应关系：域内存在分类错误，域外也可能偶然得到正确标签。</w:t>
      </w:r>
    </w:p>
    <w:p w14:paraId="5453C40D" w14:textId="77777777" w:rsidR="00727F41" w:rsidRDefault="00485E89">
      <w:pPr>
        <w:jc w:val="both"/>
      </w:pPr>
      <w:r>
        <w:t>Hosni</w:t>
      </w:r>
      <w:r>
        <w:t>等在</w:t>
      </w:r>
      <w:r>
        <w:t>QSAR</w:t>
      </w:r>
      <w:r>
        <w:t>分类和回归中发现，显式适用域计算常能区分平均而言更可靠与较不可靠的预测及不确定度估计，但差异随数据与评价设置而变化</w:t>
      </w:r>
      <w:r>
        <w:rPr>
          <w:sz w:val="18"/>
          <w:vertAlign w:val="superscript"/>
        </w:rPr>
        <w:t>[13]</w:t>
      </w:r>
      <w:r>
        <w:t>。</w:t>
      </w:r>
      <w:r>
        <w:t xml:space="preserve"> </w:t>
      </w:r>
      <w:r>
        <w:t>这支持同时检查预测概率与输入支持范围；它不意味着某一种分子结构相似性阈值可以直接用于光谱，也不意味着域内身份就是逐样品正确证明。</w:t>
      </w:r>
    </w:p>
    <w:p w14:paraId="2C95146B" w14:textId="77777777" w:rsidR="00727F41" w:rsidRDefault="00485E89">
      <w:pPr>
        <w:pStyle w:val="21"/>
      </w:pPr>
      <w:bookmarkStart w:id="16" w:name="_Toc244165148"/>
      <w:r>
        <w:t xml:space="preserve">4.2 </w:t>
      </w:r>
      <w:r>
        <w:t>得分距离与残差的互补检查</w:t>
      </w:r>
      <w:bookmarkEnd w:id="16"/>
    </w:p>
    <w:p w14:paraId="6E3D23B6" w14:textId="77777777" w:rsidR="00727F41" w:rsidRDefault="00485E89">
      <w:pPr>
        <w:jc w:val="both"/>
      </w:pPr>
      <w:r>
        <w:t>马氏距离利用协方差描述变量尺度与相关性，高维小样本下需要处理协方差估计不稳定的问题。主成分分析（</w:t>
      </w:r>
      <w:r>
        <w:t>principal component analysis</w:t>
      </w:r>
      <w:r>
        <w:t>，</w:t>
      </w:r>
      <w:r>
        <w:t>PCA</w:t>
      </w:r>
      <w:r>
        <w:t>）将光谱映射到低维得分空间。将预处理并按训练参数中心化后的输入记为</w:t>
      </w:r>
      <w:r>
        <w:t>r</w:t>
      </w:r>
      <w:r>
        <w:t>，保留</w:t>
      </w:r>
      <w:r>
        <w:t>A</w:t>
      </w:r>
      <w:r>
        <w:t>个主成分的载荷矩阵为</w:t>
      </w:r>
      <m:oMath>
        <m:sSub>
          <m:sSubPr>
            <m:ctrlPr>
              <w:rPr>
                <w:rFonts w:ascii="Cambria Math" w:hAnsi="Cambria Math"/>
              </w:rPr>
            </m:ctrlPr>
          </m:sSubPr>
          <m:e>
            <m:r>
              <w:rPr>
                <w:rFonts w:ascii="Cambria Math" w:hAnsi="Cambria Math"/>
              </w:rPr>
              <m:t>P</m:t>
            </m:r>
          </m:e>
          <m:sub>
            <m:r>
              <w:rPr>
                <w:rFonts w:ascii="Cambria Math" w:hAnsi="Cambria Math"/>
              </w:rPr>
              <m:t>A</m:t>
            </m:r>
          </m:sub>
        </m:sSub>
      </m:oMath>
      <w:r>
        <w:t>，得分和残差如式（</w:t>
      </w:r>
      <w:r>
        <w:t>5</w:t>
      </w:r>
      <w:r>
        <w:t>）所示；相应特征值矩阵为</w:t>
      </w:r>
      <m:oMath>
        <m:sSub>
          <m:sSubPr>
            <m:ctrlPr>
              <w:rPr>
                <w:rFonts w:ascii="Cambria Math" w:hAnsi="Cambria Math"/>
              </w:rPr>
            </m:ctrlPr>
          </m:sSubPr>
          <m:e>
            <m:r>
              <w:rPr>
                <w:rFonts w:ascii="Cambria Math" w:hAnsi="Cambria Math"/>
              </w:rPr>
              <m:t>Λ</m:t>
            </m:r>
          </m:e>
          <m:sub>
            <m:r>
              <w:rPr>
                <w:rFonts w:ascii="Cambria Math" w:hAnsi="Cambria Math"/>
              </w:rPr>
              <m:t>A</m:t>
            </m:r>
          </m:sub>
        </m:sSub>
      </m:oMath>
      <w:r>
        <w:t>，</w:t>
      </w:r>
      <w:r>
        <w:t>T²</w:t>
      </w:r>
      <w:r>
        <w:t>和</w:t>
      </w:r>
      <w:r>
        <w:t>Q</w:t>
      </w:r>
      <w:r>
        <w:t>如式（</w:t>
      </w:r>
      <w:r>
        <w:t>6</w:t>
      </w:r>
      <w:r>
        <w:t>）所示</w:t>
      </w:r>
      <w:r>
        <w:rPr>
          <w:sz w:val="18"/>
          <w:vertAlign w:val="superscript"/>
        </w:rPr>
        <w:t>[14]</w:t>
      </w:r>
      <w:r>
        <w:t>。</w:t>
      </w:r>
    </w:p>
    <w:p w14:paraId="3A8FEAF6" w14:textId="77777777" w:rsidR="00727F41" w:rsidRDefault="00485E89">
      <w:pPr>
        <w:spacing w:before="100" w:after="160" w:line="264" w:lineRule="auto"/>
        <w:ind w:firstLine="0"/>
        <w:jc w:val="center"/>
      </w:pPr>
      <m:oMath>
        <m:r>
          <w:rPr>
            <w:rFonts w:ascii="Cambria Math" w:hAnsi="Cambria Math"/>
          </w:rPr>
          <m:t xml:space="preserve">t = </m:t>
        </m:r>
        <m:sSubSup>
          <m:sSubSupPr>
            <m:ctrlPr>
              <w:rPr>
                <w:rFonts w:ascii="Cambria Math" w:hAnsi="Cambria Math"/>
              </w:rPr>
            </m:ctrlPr>
          </m:sSubSupPr>
          <m:e>
            <m:r>
              <w:rPr>
                <w:rFonts w:ascii="Cambria Math" w:hAnsi="Cambria Math"/>
              </w:rPr>
              <m:t>P</m:t>
            </m:r>
          </m:e>
          <m:sub>
            <m:r>
              <w:rPr>
                <w:rFonts w:ascii="Cambria Math" w:hAnsi="Cambria Math"/>
              </w:rPr>
              <m:t>A</m:t>
            </m:r>
          </m:sub>
          <m:sup>
            <m:r>
              <w:rPr>
                <w:rFonts w:ascii="Cambria Math" w:hAnsi="Cambria Math"/>
              </w:rPr>
              <m:t>T</m:t>
            </m:r>
          </m:sup>
        </m:sSubSup>
        <m:r>
          <w:rPr>
            <w:rFonts w:ascii="Cambria Math" w:hAnsi="Cambria Math"/>
          </w:rPr>
          <m:t xml:space="preserve">r,     e = r - </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t</m:t>
        </m:r>
      </m:oMath>
      <w:r>
        <w:t xml:space="preserve">    (5)</w:t>
      </w:r>
    </w:p>
    <w:p w14:paraId="3E35C44C" w14:textId="77777777" w:rsidR="00727F41" w:rsidRDefault="00770D9A">
      <w:pPr>
        <w:spacing w:before="100" w:after="160" w:line="264" w:lineRule="auto"/>
        <w:ind w:firstLine="0"/>
        <w:jc w:val="center"/>
      </w:pPr>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t</m:t>
            </m:r>
          </m:e>
          <m:sup>
            <m:r>
              <w:rPr>
                <w:rFonts w:ascii="Cambria Math" w:hAnsi="Cambria Math"/>
              </w:rPr>
              <m:t>T</m:t>
            </m:r>
          </m:sup>
        </m:sSup>
        <m:sSubSup>
          <m:sSubSupPr>
            <m:ctrlPr>
              <w:rPr>
                <w:rFonts w:ascii="Cambria Math" w:hAnsi="Cambria Math"/>
              </w:rPr>
            </m:ctrlPr>
          </m:sSubSupPr>
          <m:e>
            <m:r>
              <w:rPr>
                <w:rFonts w:ascii="Cambria Math" w:hAnsi="Cambria Math"/>
              </w:rPr>
              <m:t>Λ</m:t>
            </m:r>
          </m:e>
          <m:sub>
            <m:r>
              <w:rPr>
                <w:rFonts w:ascii="Cambria Math" w:hAnsi="Cambria Math"/>
              </w:rPr>
              <m:t>A</m:t>
            </m:r>
          </m:sub>
          <m:sup>
            <m:r>
              <w:rPr>
                <w:rFonts w:ascii="Cambria Math" w:hAnsi="Cambria Math"/>
              </w:rPr>
              <m:t>-1</m:t>
            </m:r>
          </m:sup>
        </m:sSubSup>
        <m:r>
          <w:rPr>
            <w:rFonts w:ascii="Cambria Math" w:hAnsi="Cambria Math"/>
          </w:rPr>
          <m:t xml:space="preserve">t,     Q = </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e</m:t>
        </m:r>
      </m:oMath>
      <w:r w:rsidR="00485E89">
        <w:t xml:space="preserve">    (6)</w:t>
      </w:r>
    </w:p>
    <w:p w14:paraId="2FB864C9" w14:textId="77777777" w:rsidR="00727F41" w:rsidRDefault="00485E89">
      <w:pPr>
        <w:jc w:val="both"/>
      </w:pPr>
      <w:r>
        <w:t>T²</w:t>
      </w:r>
      <w:r>
        <w:t>考察保留子空间内的标准化得分距离，</w:t>
      </w:r>
      <w:r>
        <w:t>Q</w:t>
      </w:r>
      <w:r>
        <w:t>考察该子空间未解释的重构残差。因此，沿已有变化方向远离中心与出现新的信号结构，可能产生不同的评分组合。</w:t>
      </w:r>
      <w:r>
        <w:t>Jackson</w:t>
      </w:r>
      <w:r>
        <w:t>与</w:t>
      </w:r>
      <w:r>
        <w:t>Mudholkar</w:t>
      </w:r>
      <w:r>
        <w:t>对残差控制的讨论为这种区分提供原始依据；其控制限涉及分布和协方差条件，不能直接照用于所有小样本光谱</w:t>
      </w:r>
      <w:r>
        <w:rPr>
          <w:sz w:val="18"/>
          <w:vertAlign w:val="superscript"/>
        </w:rPr>
        <w:t>[14]</w:t>
      </w:r>
      <w:r>
        <w:t>。</w:t>
      </w:r>
      <w:r>
        <w:t xml:space="preserve"> </w:t>
      </w:r>
      <w:r>
        <w:t>在实际流程中，标准化、</w:t>
      </w:r>
      <w:r>
        <w:t>PCA</w:t>
      </w:r>
      <w:r>
        <w:t>维数与阈值均应由最终测试之外的数据确定。</w:t>
      </w:r>
    </w:p>
    <w:p w14:paraId="4FFF504E" w14:textId="77777777" w:rsidR="00727F41" w:rsidRDefault="00485E89">
      <w:pPr>
        <w:pStyle w:val="21"/>
      </w:pPr>
      <w:bookmarkStart w:id="17" w:name="_Toc244165149"/>
      <w:r>
        <w:lastRenderedPageBreak/>
        <w:t xml:space="preserve">4.3 </w:t>
      </w:r>
      <w:r>
        <w:t>现代检测评分与阈值选择</w:t>
      </w:r>
      <w:bookmarkEnd w:id="17"/>
    </w:p>
    <w:p w14:paraId="10B89FA6" w14:textId="77777777" w:rsidR="00727F41" w:rsidRDefault="00485E89">
      <w:pPr>
        <w:jc w:val="both"/>
      </w:pPr>
      <w:r>
        <w:t>最大类别概率可作为简单检测基线，特征空间马氏评分和能量评分则利用模型内部表示或输出构造指标</w:t>
      </w:r>
      <w:r>
        <w:rPr>
          <w:sz w:val="18"/>
          <w:vertAlign w:val="superscript"/>
        </w:rPr>
        <w:t>[15,16,17]</w:t>
      </w:r>
      <w:r>
        <w:t>。</w:t>
      </w:r>
      <w:r>
        <w:t xml:space="preserve"> </w:t>
      </w:r>
      <w:r>
        <w:t>不同方法的评分方向、训练需求及参数不同，比较时需要固定评价任务。神经网络中的能量评分不是化学体系能量；一般距离或能量值也不自动等于错误概率。</w:t>
      </w:r>
    </w:p>
    <w:p w14:paraId="15D15895" w14:textId="77777777" w:rsidR="00727F41" w:rsidRDefault="00485E89">
      <w:pPr>
        <w:jc w:val="both"/>
      </w:pPr>
      <w:r>
        <w:t>阈值选择应与行动对应。若错误接受的代价较高，可以提高拒识程度，但应同时记录被拒绝的正常样品和复测负担。对未知类别检测，应明确哪些标签被留作未知类、是否在训练与阈值选择中出现过，并报告域外接受和域内误拒。仅在已知类别上调整阈值后提高保留部分的准确率，不足以证明未知类检测有效。</w:t>
      </w:r>
    </w:p>
    <w:p w14:paraId="1B40053A" w14:textId="77777777" w:rsidR="00727F41" w:rsidRDefault="00485E89">
      <w:pPr>
        <w:pStyle w:val="21"/>
      </w:pPr>
      <w:bookmarkStart w:id="18" w:name="_Toc244165150"/>
      <w:r>
        <w:t xml:space="preserve">4.4 </w:t>
      </w:r>
      <w:r>
        <w:t>接受率与选择性风险</w:t>
      </w:r>
      <w:bookmarkEnd w:id="18"/>
    </w:p>
    <w:p w14:paraId="02154549" w14:textId="77777777" w:rsidR="00727F41" w:rsidRDefault="00485E89">
      <w:pPr>
        <w:jc w:val="both"/>
      </w:pPr>
      <w:r>
        <w:t>选择性分类由预测器</w:t>
      </w:r>
      <w:r>
        <w:t>f</w:t>
      </w:r>
      <w:r>
        <w:t>和接受函数</w:t>
      </w:r>
      <w:r>
        <w:t>g</w:t>
      </w:r>
      <w:r>
        <w:t>共同组成，</w:t>
      </w:r>
      <w:r>
        <w:t>g</w:t>
      </w:r>
      <w:r>
        <w:t>取</w:t>
      </w:r>
      <w:r>
        <w:t>1</w:t>
      </w:r>
      <w:r>
        <w:t>表示接受，取</w:t>
      </w:r>
      <w:r>
        <w:t>0</w:t>
      </w:r>
      <w:r>
        <w:t>表示拒识。式（</w:t>
      </w:r>
      <w:r>
        <w:t>7</w:t>
      </w:r>
      <w:r>
        <w:t>）给出测试集接受率</w:t>
      </w:r>
      <w:r>
        <w:t>φ</w:t>
      </w:r>
      <w:r>
        <w:t>及接受部分的经验错误率</w:t>
      </w:r>
      <w:r>
        <w:t>R</w:t>
      </w:r>
      <w:r>
        <w:t>。拒识接受率与共形覆盖概率具有不同分母和事件含义；它也不等于某类别召回率</w:t>
      </w:r>
      <w:r>
        <w:rPr>
          <w:sz w:val="18"/>
          <w:vertAlign w:val="superscript"/>
        </w:rPr>
        <w:t>[18]</w:t>
      </w:r>
      <w:r>
        <w:t>。</w:t>
      </w:r>
    </w:p>
    <w:p w14:paraId="050FB260" w14:textId="77777777" w:rsidR="00727F41" w:rsidRDefault="00770D9A">
      <w:pPr>
        <w:spacing w:before="100" w:after="160" w:line="264" w:lineRule="auto"/>
        <w:ind w:firstLine="0"/>
        <w:jc w:val="center"/>
      </w:pPr>
      <m:oMath>
        <m:acc>
          <m:accPr>
            <m:ctrlPr>
              <w:rPr>
                <w:rFonts w:ascii="Cambria Math" w:hAnsi="Cambria Math"/>
              </w:rPr>
            </m:ctrlPr>
          </m:accPr>
          <m:e>
            <m:r>
              <w:rPr>
                <w:rFonts w:ascii="Cambria Math" w:hAnsi="Cambria Math"/>
              </w:rPr>
              <m:t>φ</m:t>
            </m:r>
          </m:e>
        </m:acc>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 xml:space="preserve">,   </m:t>
        </m:r>
        <m:acc>
          <m:accPr>
            <m:ctrlPr>
              <w:rPr>
                <w:rFonts w:ascii="Cambria Math" w:hAnsi="Cambria Math"/>
              </w:rPr>
            </m:ctrlPr>
          </m:accPr>
          <m:e>
            <m:r>
              <w:rPr>
                <w:rFonts w:ascii="Cambria Math" w:hAnsi="Cambria Math"/>
              </w:rPr>
              <m:t>R</m:t>
            </m:r>
          </m:e>
        </m:acc>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g</m:t>
                    </m:r>
                  </m:e>
                  <m:sub>
                    <m:r>
                      <w:rPr>
                        <w:rFonts w:ascii="Cambria Math" w:hAnsi="Cambria Math"/>
                      </w:rPr>
                      <m:t>i</m:t>
                    </m:r>
                  </m:sub>
                </m:sSub>
              </m:e>
            </m:nary>
          </m:den>
        </m:f>
      </m:oMath>
      <w:r w:rsidR="00485E89">
        <w:t xml:space="preserve">    (7)</w:t>
      </w:r>
    </w:p>
    <w:p w14:paraId="463AD0D6" w14:textId="77777777" w:rsidR="00727F41" w:rsidRDefault="00485E89">
      <w:pPr>
        <w:jc w:val="both"/>
      </w:pPr>
      <w:r>
        <w:t>全部样品被拒识时，错误率分母为零，应记为不适用。风险</w:t>
      </w:r>
      <w:r>
        <w:t>—</w:t>
      </w:r>
      <w:r>
        <w:t>接受率曲线可以显示接受规模与错误风险之间的取舍，但不能把某条曲线看起来较低直接转化为严格风险保证。</w:t>
      </w:r>
      <w:r>
        <w:t>Geifman</w:t>
      </w:r>
      <w:r>
        <w:t>与</w:t>
      </w:r>
      <w:r>
        <w:t>El-Yaniv</w:t>
      </w:r>
      <w:r>
        <w:t>的风险控制依赖特定算法和抽样条件，不能由任意阈值滑块自动继承</w:t>
      </w:r>
      <w:r>
        <w:rPr>
          <w:sz w:val="18"/>
          <w:vertAlign w:val="superscript"/>
        </w:rPr>
        <w:t>[18]</w:t>
      </w:r>
      <w:r>
        <w:t>。</w:t>
      </w:r>
      <w:r>
        <w:t xml:space="preserve"> </w:t>
      </w:r>
      <w:r>
        <w:t>对分析流程而言，拒识后的复测、补充参比测量与记录同样属于方法的一部分。</w:t>
      </w:r>
    </w:p>
    <w:p w14:paraId="596A88E8" w14:textId="77777777" w:rsidR="00727F41" w:rsidRDefault="00485E89">
      <w:pPr>
        <w:pStyle w:val="af7"/>
        <w:keepNext/>
      </w:pPr>
      <w:r>
        <w:t>表</w:t>
      </w:r>
      <w:r>
        <w:t xml:space="preserve">2 </w:t>
      </w:r>
      <w:r>
        <w:t>核心方法的选择依据</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84"/>
        <w:gridCol w:w="2304"/>
        <w:gridCol w:w="2880"/>
        <w:gridCol w:w="3024"/>
      </w:tblGrid>
      <w:tr w:rsidR="00727F41" w14:paraId="3789363E" w14:textId="77777777">
        <w:trPr>
          <w:cantSplit/>
          <w:tblHeader/>
          <w:jc w:val="center"/>
        </w:trPr>
        <w:tc>
          <w:tcPr>
            <w:tcW w:w="1584" w:type="dxa"/>
            <w:shd w:val="clear" w:color="auto" w:fill="E9EFF3"/>
            <w:tcMar>
              <w:top w:w="90" w:type="dxa"/>
              <w:left w:w="90" w:type="dxa"/>
              <w:bottom w:w="90" w:type="dxa"/>
              <w:right w:w="90" w:type="dxa"/>
            </w:tcMar>
            <w:vAlign w:val="center"/>
          </w:tcPr>
          <w:p w14:paraId="671321C4" w14:textId="77777777" w:rsidR="00727F41" w:rsidRDefault="00485E89">
            <w:pPr>
              <w:keepNext/>
              <w:spacing w:before="60" w:after="60" w:line="278" w:lineRule="auto"/>
              <w:ind w:firstLine="0"/>
              <w:jc w:val="center"/>
            </w:pPr>
            <w:r>
              <w:rPr>
                <w:b/>
                <w:sz w:val="20"/>
              </w:rPr>
              <w:t>方法</w:t>
            </w:r>
          </w:p>
        </w:tc>
        <w:tc>
          <w:tcPr>
            <w:tcW w:w="2304" w:type="dxa"/>
            <w:shd w:val="clear" w:color="auto" w:fill="E9EFF3"/>
            <w:tcMar>
              <w:top w:w="90" w:type="dxa"/>
              <w:left w:w="90" w:type="dxa"/>
              <w:bottom w:w="90" w:type="dxa"/>
              <w:right w:w="90" w:type="dxa"/>
            </w:tcMar>
            <w:vAlign w:val="center"/>
          </w:tcPr>
          <w:p w14:paraId="64035536" w14:textId="77777777" w:rsidR="00727F41" w:rsidRDefault="00485E89">
            <w:pPr>
              <w:keepNext/>
              <w:spacing w:before="60" w:after="60" w:line="278" w:lineRule="auto"/>
              <w:ind w:firstLine="0"/>
            </w:pPr>
            <w:r>
              <w:rPr>
                <w:b/>
                <w:sz w:val="20"/>
              </w:rPr>
              <w:t>主要作用</w:t>
            </w:r>
          </w:p>
        </w:tc>
        <w:tc>
          <w:tcPr>
            <w:tcW w:w="2880" w:type="dxa"/>
            <w:shd w:val="clear" w:color="auto" w:fill="E9EFF3"/>
            <w:tcMar>
              <w:top w:w="90" w:type="dxa"/>
              <w:left w:w="90" w:type="dxa"/>
              <w:bottom w:w="90" w:type="dxa"/>
              <w:right w:w="90" w:type="dxa"/>
            </w:tcMar>
            <w:vAlign w:val="center"/>
          </w:tcPr>
          <w:p w14:paraId="6EE8DFDE" w14:textId="77777777" w:rsidR="00727F41" w:rsidRDefault="00485E89">
            <w:pPr>
              <w:keepNext/>
              <w:spacing w:before="60" w:after="60" w:line="278" w:lineRule="auto"/>
              <w:ind w:firstLine="0"/>
            </w:pPr>
            <w:r>
              <w:rPr>
                <w:b/>
                <w:sz w:val="20"/>
              </w:rPr>
              <w:t>数据条件</w:t>
            </w:r>
          </w:p>
        </w:tc>
        <w:tc>
          <w:tcPr>
            <w:tcW w:w="3024" w:type="dxa"/>
            <w:shd w:val="clear" w:color="auto" w:fill="E9EFF3"/>
            <w:tcMar>
              <w:top w:w="90" w:type="dxa"/>
              <w:left w:w="90" w:type="dxa"/>
              <w:bottom w:w="90" w:type="dxa"/>
              <w:right w:w="90" w:type="dxa"/>
            </w:tcMar>
            <w:vAlign w:val="center"/>
          </w:tcPr>
          <w:p w14:paraId="76E12D06" w14:textId="77777777" w:rsidR="00727F41" w:rsidRDefault="00485E89">
            <w:pPr>
              <w:keepNext/>
              <w:spacing w:before="60" w:after="60" w:line="278" w:lineRule="auto"/>
              <w:ind w:firstLine="0"/>
            </w:pPr>
            <w:r>
              <w:rPr>
                <w:b/>
                <w:sz w:val="20"/>
              </w:rPr>
              <w:t>评价重点</w:t>
            </w:r>
          </w:p>
        </w:tc>
      </w:tr>
      <w:tr w:rsidR="00727F41" w14:paraId="0E7B6F63" w14:textId="77777777">
        <w:trPr>
          <w:cantSplit/>
          <w:jc w:val="center"/>
        </w:trPr>
        <w:tc>
          <w:tcPr>
            <w:tcW w:w="1584" w:type="dxa"/>
            <w:shd w:val="clear" w:color="auto" w:fill="FFFFFF"/>
            <w:tcMar>
              <w:top w:w="90" w:type="dxa"/>
              <w:left w:w="90" w:type="dxa"/>
              <w:bottom w:w="90" w:type="dxa"/>
              <w:right w:w="90" w:type="dxa"/>
            </w:tcMar>
            <w:vAlign w:val="center"/>
          </w:tcPr>
          <w:p w14:paraId="25F2B421" w14:textId="77777777" w:rsidR="00727F41" w:rsidRDefault="00485E89">
            <w:pPr>
              <w:spacing w:before="60" w:after="60" w:line="278" w:lineRule="auto"/>
              <w:ind w:firstLine="0"/>
              <w:jc w:val="center"/>
            </w:pPr>
            <w:r>
              <w:rPr>
                <w:sz w:val="20"/>
              </w:rPr>
              <w:t>温度缩放</w:t>
            </w:r>
          </w:p>
        </w:tc>
        <w:tc>
          <w:tcPr>
            <w:tcW w:w="2304" w:type="dxa"/>
            <w:shd w:val="clear" w:color="auto" w:fill="FFFFFF"/>
            <w:tcMar>
              <w:top w:w="90" w:type="dxa"/>
              <w:left w:w="90" w:type="dxa"/>
              <w:bottom w:w="90" w:type="dxa"/>
              <w:right w:w="90" w:type="dxa"/>
            </w:tcMar>
            <w:vAlign w:val="center"/>
          </w:tcPr>
          <w:p w14:paraId="6AF51407" w14:textId="77777777" w:rsidR="00727F41" w:rsidRDefault="00485E89">
            <w:pPr>
              <w:spacing w:before="60" w:after="60" w:line="278" w:lineRule="auto"/>
              <w:ind w:firstLine="0"/>
            </w:pPr>
            <w:r>
              <w:rPr>
                <w:sz w:val="20"/>
              </w:rPr>
              <w:t>调整固定分类器概率</w:t>
            </w:r>
          </w:p>
        </w:tc>
        <w:tc>
          <w:tcPr>
            <w:tcW w:w="2880" w:type="dxa"/>
            <w:shd w:val="clear" w:color="auto" w:fill="FFFFFF"/>
            <w:tcMar>
              <w:top w:w="90" w:type="dxa"/>
              <w:left w:w="90" w:type="dxa"/>
              <w:bottom w:w="90" w:type="dxa"/>
              <w:right w:w="90" w:type="dxa"/>
            </w:tcMar>
            <w:vAlign w:val="center"/>
          </w:tcPr>
          <w:p w14:paraId="570E39AB" w14:textId="77777777" w:rsidR="00727F41" w:rsidRDefault="00485E89">
            <w:pPr>
              <w:spacing w:before="60" w:after="60" w:line="278" w:lineRule="auto"/>
              <w:ind w:firstLine="0"/>
            </w:pPr>
            <w:r>
              <w:rPr>
                <w:sz w:val="20"/>
              </w:rPr>
              <w:t>模型固定</w:t>
            </w:r>
            <w:r>
              <w:rPr>
                <w:sz w:val="20"/>
              </w:rPr>
              <w:t xml:space="preserve"> </w:t>
            </w:r>
            <w:r>
              <w:rPr>
                <w:sz w:val="20"/>
              </w:rPr>
              <w:t>专用校准数据</w:t>
            </w:r>
          </w:p>
        </w:tc>
        <w:tc>
          <w:tcPr>
            <w:tcW w:w="3024" w:type="dxa"/>
            <w:shd w:val="clear" w:color="auto" w:fill="FFFFFF"/>
            <w:tcMar>
              <w:top w:w="90" w:type="dxa"/>
              <w:left w:w="90" w:type="dxa"/>
              <w:bottom w:w="90" w:type="dxa"/>
              <w:right w:w="90" w:type="dxa"/>
            </w:tcMar>
            <w:vAlign w:val="center"/>
          </w:tcPr>
          <w:p w14:paraId="57C728F7" w14:textId="77777777" w:rsidR="00727F41" w:rsidRDefault="00485E89">
            <w:pPr>
              <w:spacing w:before="60" w:after="60" w:line="278" w:lineRule="auto"/>
              <w:ind w:firstLine="0"/>
            </w:pPr>
            <w:r>
              <w:rPr>
                <w:sz w:val="20"/>
              </w:rPr>
              <w:t>NLL Brier</w:t>
            </w:r>
            <w:r>
              <w:rPr>
                <w:sz w:val="20"/>
              </w:rPr>
              <w:t>与可靠性图</w:t>
            </w:r>
          </w:p>
        </w:tc>
      </w:tr>
      <w:tr w:rsidR="00727F41" w14:paraId="0BC071EA" w14:textId="77777777">
        <w:trPr>
          <w:cantSplit/>
          <w:jc w:val="center"/>
        </w:trPr>
        <w:tc>
          <w:tcPr>
            <w:tcW w:w="1584" w:type="dxa"/>
            <w:shd w:val="clear" w:color="auto" w:fill="F8FAFC"/>
            <w:tcMar>
              <w:top w:w="90" w:type="dxa"/>
              <w:left w:w="90" w:type="dxa"/>
              <w:bottom w:w="90" w:type="dxa"/>
              <w:right w:w="90" w:type="dxa"/>
            </w:tcMar>
            <w:vAlign w:val="center"/>
          </w:tcPr>
          <w:p w14:paraId="306CF2C5" w14:textId="77777777" w:rsidR="00727F41" w:rsidRDefault="00485E89">
            <w:pPr>
              <w:spacing w:before="60" w:after="60" w:line="278" w:lineRule="auto"/>
              <w:ind w:firstLine="0"/>
              <w:jc w:val="center"/>
            </w:pPr>
            <w:r>
              <w:rPr>
                <w:sz w:val="20"/>
              </w:rPr>
              <w:t>共形预测</w:t>
            </w:r>
          </w:p>
        </w:tc>
        <w:tc>
          <w:tcPr>
            <w:tcW w:w="2304" w:type="dxa"/>
            <w:shd w:val="clear" w:color="auto" w:fill="F8FAFC"/>
            <w:tcMar>
              <w:top w:w="90" w:type="dxa"/>
              <w:left w:w="90" w:type="dxa"/>
              <w:bottom w:w="90" w:type="dxa"/>
              <w:right w:w="90" w:type="dxa"/>
            </w:tcMar>
            <w:vAlign w:val="center"/>
          </w:tcPr>
          <w:p w14:paraId="5EAA462F" w14:textId="77777777" w:rsidR="00727F41" w:rsidRDefault="00485E89">
            <w:pPr>
              <w:spacing w:before="60" w:after="60" w:line="278" w:lineRule="auto"/>
              <w:ind w:firstLine="0"/>
            </w:pPr>
            <w:r>
              <w:rPr>
                <w:sz w:val="20"/>
              </w:rPr>
              <w:t>构造预测集合或区间</w:t>
            </w:r>
          </w:p>
        </w:tc>
        <w:tc>
          <w:tcPr>
            <w:tcW w:w="2880" w:type="dxa"/>
            <w:shd w:val="clear" w:color="auto" w:fill="F8FAFC"/>
            <w:tcMar>
              <w:top w:w="90" w:type="dxa"/>
              <w:left w:w="90" w:type="dxa"/>
              <w:bottom w:w="90" w:type="dxa"/>
              <w:right w:w="90" w:type="dxa"/>
            </w:tcMar>
            <w:vAlign w:val="center"/>
          </w:tcPr>
          <w:p w14:paraId="45535204" w14:textId="77777777" w:rsidR="00727F41" w:rsidRDefault="00485E89">
            <w:pPr>
              <w:spacing w:before="60" w:after="60" w:line="278" w:lineRule="auto"/>
              <w:ind w:firstLine="0"/>
            </w:pPr>
            <w:r>
              <w:rPr>
                <w:sz w:val="20"/>
              </w:rPr>
              <w:t>交换性或相应扩展条件</w:t>
            </w:r>
          </w:p>
        </w:tc>
        <w:tc>
          <w:tcPr>
            <w:tcW w:w="3024" w:type="dxa"/>
            <w:shd w:val="clear" w:color="auto" w:fill="F8FAFC"/>
            <w:tcMar>
              <w:top w:w="90" w:type="dxa"/>
              <w:left w:w="90" w:type="dxa"/>
              <w:bottom w:w="90" w:type="dxa"/>
              <w:right w:w="90" w:type="dxa"/>
            </w:tcMar>
            <w:vAlign w:val="center"/>
          </w:tcPr>
          <w:p w14:paraId="287E2E3C" w14:textId="77777777" w:rsidR="00727F41" w:rsidRDefault="00485E89">
            <w:pPr>
              <w:spacing w:before="60" w:after="60" w:line="278" w:lineRule="auto"/>
              <w:ind w:firstLine="0"/>
            </w:pPr>
            <w:r>
              <w:rPr>
                <w:sz w:val="20"/>
              </w:rPr>
              <w:t>覆盖率与集合大小</w:t>
            </w:r>
          </w:p>
        </w:tc>
      </w:tr>
      <w:tr w:rsidR="00727F41" w14:paraId="18E67F6B" w14:textId="77777777">
        <w:trPr>
          <w:cantSplit/>
          <w:jc w:val="center"/>
        </w:trPr>
        <w:tc>
          <w:tcPr>
            <w:tcW w:w="1584" w:type="dxa"/>
            <w:shd w:val="clear" w:color="auto" w:fill="FFFFFF"/>
            <w:tcMar>
              <w:top w:w="90" w:type="dxa"/>
              <w:left w:w="90" w:type="dxa"/>
              <w:bottom w:w="90" w:type="dxa"/>
              <w:right w:w="90" w:type="dxa"/>
            </w:tcMar>
            <w:vAlign w:val="center"/>
          </w:tcPr>
          <w:p w14:paraId="70DEE7BC" w14:textId="77777777" w:rsidR="00727F41" w:rsidRDefault="00485E89">
            <w:pPr>
              <w:spacing w:before="60" w:after="60" w:line="278" w:lineRule="auto"/>
              <w:ind w:firstLine="0"/>
              <w:jc w:val="center"/>
            </w:pPr>
            <w:r>
              <w:rPr>
                <w:sz w:val="20"/>
              </w:rPr>
              <w:t>T²</w:t>
            </w:r>
            <w:r>
              <w:rPr>
                <w:sz w:val="20"/>
              </w:rPr>
              <w:t>与</w:t>
            </w:r>
            <w:r>
              <w:rPr>
                <w:sz w:val="20"/>
              </w:rPr>
              <w:t>Q</w:t>
            </w:r>
          </w:p>
        </w:tc>
        <w:tc>
          <w:tcPr>
            <w:tcW w:w="2304" w:type="dxa"/>
            <w:shd w:val="clear" w:color="auto" w:fill="FFFFFF"/>
            <w:tcMar>
              <w:top w:w="90" w:type="dxa"/>
              <w:left w:w="90" w:type="dxa"/>
              <w:bottom w:w="90" w:type="dxa"/>
              <w:right w:w="90" w:type="dxa"/>
            </w:tcMar>
            <w:vAlign w:val="center"/>
          </w:tcPr>
          <w:p w14:paraId="326D0D4F" w14:textId="77777777" w:rsidR="00727F41" w:rsidRDefault="00485E89">
            <w:pPr>
              <w:spacing w:before="60" w:after="60" w:line="278" w:lineRule="auto"/>
              <w:ind w:firstLine="0"/>
            </w:pPr>
            <w:r>
              <w:rPr>
                <w:sz w:val="20"/>
              </w:rPr>
              <w:t>检查得分距离及重构残差</w:t>
            </w:r>
          </w:p>
        </w:tc>
        <w:tc>
          <w:tcPr>
            <w:tcW w:w="2880" w:type="dxa"/>
            <w:shd w:val="clear" w:color="auto" w:fill="FFFFFF"/>
            <w:tcMar>
              <w:top w:w="90" w:type="dxa"/>
              <w:left w:w="90" w:type="dxa"/>
              <w:bottom w:w="90" w:type="dxa"/>
              <w:right w:w="90" w:type="dxa"/>
            </w:tcMar>
            <w:vAlign w:val="center"/>
          </w:tcPr>
          <w:p w14:paraId="1CA46CD6" w14:textId="77777777" w:rsidR="00727F41" w:rsidRDefault="00485E89">
            <w:pPr>
              <w:spacing w:before="60" w:after="60" w:line="278" w:lineRule="auto"/>
              <w:ind w:firstLine="0"/>
            </w:pPr>
            <w:r>
              <w:rPr>
                <w:sz w:val="20"/>
              </w:rPr>
              <w:t>训练表示</w:t>
            </w:r>
            <w:r>
              <w:rPr>
                <w:sz w:val="20"/>
              </w:rPr>
              <w:t xml:space="preserve"> </w:t>
            </w:r>
            <w:r>
              <w:rPr>
                <w:sz w:val="20"/>
              </w:rPr>
              <w:t>维数与阈值固定</w:t>
            </w:r>
          </w:p>
        </w:tc>
        <w:tc>
          <w:tcPr>
            <w:tcW w:w="3024" w:type="dxa"/>
            <w:shd w:val="clear" w:color="auto" w:fill="FFFFFF"/>
            <w:tcMar>
              <w:top w:w="90" w:type="dxa"/>
              <w:left w:w="90" w:type="dxa"/>
              <w:bottom w:w="90" w:type="dxa"/>
              <w:right w:w="90" w:type="dxa"/>
            </w:tcMar>
            <w:vAlign w:val="center"/>
          </w:tcPr>
          <w:p w14:paraId="6AF01F1D" w14:textId="77777777" w:rsidR="00727F41" w:rsidRDefault="00485E89">
            <w:pPr>
              <w:spacing w:before="60" w:after="60" w:line="278" w:lineRule="auto"/>
              <w:ind w:firstLine="0"/>
            </w:pPr>
            <w:r>
              <w:rPr>
                <w:sz w:val="20"/>
              </w:rPr>
              <w:t>已知误拒及未知接受</w:t>
            </w:r>
          </w:p>
        </w:tc>
      </w:tr>
      <w:tr w:rsidR="00727F41" w14:paraId="3C50FBB6" w14:textId="77777777">
        <w:trPr>
          <w:cantSplit/>
          <w:jc w:val="center"/>
        </w:trPr>
        <w:tc>
          <w:tcPr>
            <w:tcW w:w="1584" w:type="dxa"/>
            <w:shd w:val="clear" w:color="auto" w:fill="F8FAFC"/>
            <w:tcMar>
              <w:top w:w="90" w:type="dxa"/>
              <w:left w:w="90" w:type="dxa"/>
              <w:bottom w:w="90" w:type="dxa"/>
              <w:right w:w="90" w:type="dxa"/>
            </w:tcMar>
            <w:vAlign w:val="center"/>
          </w:tcPr>
          <w:p w14:paraId="5DB2E44A" w14:textId="77777777" w:rsidR="00727F41" w:rsidRDefault="00485E89">
            <w:pPr>
              <w:spacing w:before="60" w:after="60" w:line="278" w:lineRule="auto"/>
              <w:ind w:firstLine="0"/>
              <w:jc w:val="center"/>
            </w:pPr>
            <w:r>
              <w:rPr>
                <w:sz w:val="20"/>
              </w:rPr>
              <w:t>拒识规则</w:t>
            </w:r>
          </w:p>
        </w:tc>
        <w:tc>
          <w:tcPr>
            <w:tcW w:w="2304" w:type="dxa"/>
            <w:shd w:val="clear" w:color="auto" w:fill="F8FAFC"/>
            <w:tcMar>
              <w:top w:w="90" w:type="dxa"/>
              <w:left w:w="90" w:type="dxa"/>
              <w:bottom w:w="90" w:type="dxa"/>
              <w:right w:w="90" w:type="dxa"/>
            </w:tcMar>
            <w:vAlign w:val="center"/>
          </w:tcPr>
          <w:p w14:paraId="32ECE278" w14:textId="77777777" w:rsidR="00727F41" w:rsidRDefault="00485E89">
            <w:pPr>
              <w:spacing w:before="60" w:after="60" w:line="278" w:lineRule="auto"/>
              <w:ind w:firstLine="0"/>
            </w:pPr>
            <w:r>
              <w:rPr>
                <w:sz w:val="20"/>
              </w:rPr>
              <w:t>决定接受或转交复测</w:t>
            </w:r>
          </w:p>
        </w:tc>
        <w:tc>
          <w:tcPr>
            <w:tcW w:w="2880" w:type="dxa"/>
            <w:shd w:val="clear" w:color="auto" w:fill="F8FAFC"/>
            <w:tcMar>
              <w:top w:w="90" w:type="dxa"/>
              <w:left w:w="90" w:type="dxa"/>
              <w:bottom w:w="90" w:type="dxa"/>
              <w:right w:w="90" w:type="dxa"/>
            </w:tcMar>
            <w:vAlign w:val="center"/>
          </w:tcPr>
          <w:p w14:paraId="44B8EB89" w14:textId="77777777" w:rsidR="00727F41" w:rsidRDefault="00485E89">
            <w:pPr>
              <w:spacing w:before="60" w:after="60" w:line="278" w:lineRule="auto"/>
              <w:ind w:firstLine="0"/>
            </w:pPr>
            <w:r>
              <w:rPr>
                <w:sz w:val="20"/>
              </w:rPr>
              <w:t>阈值及行动用途明确</w:t>
            </w:r>
          </w:p>
        </w:tc>
        <w:tc>
          <w:tcPr>
            <w:tcW w:w="3024" w:type="dxa"/>
            <w:shd w:val="clear" w:color="auto" w:fill="F8FAFC"/>
            <w:tcMar>
              <w:top w:w="90" w:type="dxa"/>
              <w:left w:w="90" w:type="dxa"/>
              <w:bottom w:w="90" w:type="dxa"/>
              <w:right w:w="90" w:type="dxa"/>
            </w:tcMar>
            <w:vAlign w:val="center"/>
          </w:tcPr>
          <w:p w14:paraId="0530CDBA" w14:textId="77777777" w:rsidR="00727F41" w:rsidRDefault="00485E89">
            <w:pPr>
              <w:spacing w:before="60" w:after="60" w:line="278" w:lineRule="auto"/>
              <w:ind w:firstLine="0"/>
            </w:pPr>
            <w:r>
              <w:rPr>
                <w:sz w:val="20"/>
              </w:rPr>
              <w:t>接受率与条件错误率</w:t>
            </w:r>
          </w:p>
        </w:tc>
      </w:tr>
    </w:tbl>
    <w:p w14:paraId="09D5563A" w14:textId="77777777" w:rsidR="00727F41" w:rsidRDefault="00727F41">
      <w:pPr>
        <w:spacing w:after="0"/>
      </w:pPr>
    </w:p>
    <w:p w14:paraId="5859B221" w14:textId="77777777" w:rsidR="00727F41" w:rsidRDefault="00485E89">
      <w:pPr>
        <w:jc w:val="both"/>
      </w:pPr>
      <w:r>
        <w:t>表</w:t>
      </w:r>
      <w:r>
        <w:t>2</w:t>
      </w:r>
      <w:r>
        <w:t>按目标组织方法选择：已知类别的概率表达可先用温度缩放评价；需要集合输出时，应按数据条件选择共形算法；新输入的支持范围可由适用域评分辅助检查。拒识是建立在评分和阈值之上的行动规则，可与前述方法组合。本文计算案例采用温度缩放与</w:t>
      </w:r>
      <w:r>
        <w:t>T²/Q</w:t>
      </w:r>
      <w:r>
        <w:t>基线，共形与因果方法保留为理论比较，未将其写成已经实现的实验。</w:t>
      </w:r>
    </w:p>
    <w:p w14:paraId="04138BA3" w14:textId="77777777" w:rsidR="00727F41" w:rsidRDefault="00485E89">
      <w:pPr>
        <w:pStyle w:val="1"/>
      </w:pPr>
      <w:bookmarkStart w:id="19" w:name="_Toc244165151"/>
      <w:r>
        <w:lastRenderedPageBreak/>
        <w:t>五、混杂因素与解释的证据边界</w:t>
      </w:r>
      <w:bookmarkEnd w:id="19"/>
    </w:p>
    <w:p w14:paraId="7CE0920D" w14:textId="77777777" w:rsidR="00727F41" w:rsidRDefault="00485E89">
      <w:pPr>
        <w:pStyle w:val="21"/>
      </w:pPr>
      <w:bookmarkStart w:id="20" w:name="_Toc244165152"/>
      <w:r>
        <w:t xml:space="preserve">5.1 </w:t>
      </w:r>
      <w:r>
        <w:t>批次捷径与完全混杂</w:t>
      </w:r>
      <w:bookmarkEnd w:id="20"/>
    </w:p>
    <w:p w14:paraId="4E4FF282" w14:textId="77777777" w:rsidR="00727F41" w:rsidRDefault="00485E89">
      <w:pPr>
        <w:jc w:val="both"/>
      </w:pPr>
      <w:r>
        <w:t>假设</w:t>
      </w:r>
      <w:r>
        <w:t>A</w:t>
      </w:r>
      <w:r>
        <w:t>类样品仅在某一天由一台仪器采集，</w:t>
      </w:r>
      <w:r>
        <w:t>B</w:t>
      </w:r>
      <w:r>
        <w:t>类样品仅在另一天采集。模型可能利用背景、基线或仪器响应识别批次，而不是利用目标化学差异。把这些光谱随机分到训练和测试部分，仍可能在两部分保留相同的类别与批次关联。这个教学情境用于说明混杂风险，不对应本文已观测的数据。</w:t>
      </w:r>
    </w:p>
    <w:p w14:paraId="6C1753BE" w14:textId="77777777" w:rsidR="00727F41" w:rsidRDefault="00485E89">
      <w:pPr>
        <w:jc w:val="both"/>
      </w:pPr>
      <w:r>
        <w:t>图</w:t>
      </w:r>
      <w:r>
        <w:t>2</w:t>
      </w:r>
      <w:r>
        <w:t>将化学信号路径与采样安排形成的批次关联分开表示。若类别与批次完全绑定，仅靠原数据的统计调整通常难以辨别两个来源；需要增加跨批次的同类样品、同批次的不同类别或其他能够打破绑定的数据。因果分析因此首先要求说明数据是怎样产生的</w:t>
      </w:r>
      <w:r>
        <w:rPr>
          <w:sz w:val="18"/>
          <w:vertAlign w:val="superscript"/>
        </w:rPr>
        <w:t>[19,20]</w:t>
      </w:r>
      <w:r>
        <w:t>。</w:t>
      </w:r>
    </w:p>
    <w:p w14:paraId="55F49D27" w14:textId="77777777" w:rsidR="00727F41" w:rsidRDefault="00485E89">
      <w:pPr>
        <w:keepNext/>
        <w:ind w:firstLine="0"/>
        <w:jc w:val="center"/>
      </w:pPr>
      <w:r>
        <w:rPr>
          <w:noProof/>
        </w:rPr>
        <w:drawing>
          <wp:inline distT="0" distB="0" distL="0" distR="0" wp14:anchorId="1A5F1D16" wp14:editId="4DEB99DA">
            <wp:extent cx="6172200" cy="1861457"/>
            <wp:effectExtent l="0" t="0" r="0" b="0"/>
            <wp:docPr id="2" name="Picture 2" descr="批次混杂的因果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atch_confounding.png"/>
                    <pic:cNvPicPr/>
                  </pic:nvPicPr>
                  <pic:blipFill>
                    <a:blip r:embed="rId9"/>
                    <a:stretch>
                      <a:fillRect/>
                    </a:stretch>
                  </pic:blipFill>
                  <pic:spPr>
                    <a:xfrm>
                      <a:off x="0" y="0"/>
                      <a:ext cx="6172200" cy="1861457"/>
                    </a:xfrm>
                    <a:prstGeom prst="rect">
                      <a:avLst/>
                    </a:prstGeom>
                  </pic:spPr>
                </pic:pic>
              </a:graphicData>
            </a:graphic>
          </wp:inline>
        </w:drawing>
      </w:r>
    </w:p>
    <w:p w14:paraId="243DC832" w14:textId="77777777" w:rsidR="00727F41" w:rsidRDefault="00485E89">
      <w:pPr>
        <w:pStyle w:val="af7"/>
      </w:pPr>
      <w:r>
        <w:t>图</w:t>
      </w:r>
      <w:r>
        <w:t xml:space="preserve">2 </w:t>
      </w:r>
      <w:r>
        <w:t>批次混杂的教学因果图。</w:t>
      </w:r>
      <w:r>
        <w:t>S</w:t>
      </w:r>
      <w:r>
        <w:t>表示使类别组成与批次同时变化的采样安排，</w:t>
      </w:r>
      <w:r>
        <w:t>Y</w:t>
      </w:r>
      <w:r>
        <w:t>为类别，</w:t>
      </w:r>
      <w:r>
        <w:t>M</w:t>
      </w:r>
      <w:r>
        <w:t>为与类别相关的化学状态，</w:t>
      </w:r>
      <w:r>
        <w:t>B</w:t>
      </w:r>
      <w:r>
        <w:t>为批次或仪器条件，</w:t>
      </w:r>
      <w:r>
        <w:t>X</w:t>
      </w:r>
      <w:r>
        <w:t>为光谱。箭头表示假设的生成关系；该图不表示批次能够改变样品原有类别，也不是本组数据的已识别因果结构。</w:t>
      </w:r>
    </w:p>
    <w:p w14:paraId="7135F6A2" w14:textId="77777777" w:rsidR="00727F41" w:rsidRDefault="00485E89">
      <w:pPr>
        <w:pStyle w:val="21"/>
      </w:pPr>
      <w:bookmarkStart w:id="21" w:name="_Toc244165153"/>
      <w:r>
        <w:t xml:space="preserve">5.2 </w:t>
      </w:r>
      <w:r>
        <w:t>数据划分与预处理泄漏</w:t>
      </w:r>
      <w:bookmarkEnd w:id="21"/>
    </w:p>
    <w:p w14:paraId="3E43A834" w14:textId="77777777" w:rsidR="00727F41" w:rsidRDefault="00485E89">
      <w:pPr>
        <w:jc w:val="both"/>
      </w:pPr>
      <w:r>
        <w:t>重复光谱的数量不等于独立样品数量。若同一颗粒、细胞、试样或图像的重复信息同时出现在训练和测试部分，测试就可能过于接近模型已经见过的对象。</w:t>
      </w:r>
      <w:r>
        <w:t>Guo</w:t>
      </w:r>
      <w:r>
        <w:t>等拉曼分析协议的公开扩展材料展示了采集层级，</w:t>
      </w:r>
      <w:r>
        <w:t>Lilek</w:t>
      </w:r>
      <w:r>
        <w:t>等的摘要和补充说明则提示，不同数据中的组可能分别指测量重复或生物重复</w:t>
      </w:r>
      <w:r>
        <w:rPr>
          <w:sz w:val="18"/>
          <w:vertAlign w:val="superscript"/>
        </w:rPr>
        <w:t>[21,22]</w:t>
      </w:r>
      <w:r>
        <w:t>。</w:t>
      </w:r>
      <w:r>
        <w:t xml:space="preserve"> </w:t>
      </w:r>
      <w:r>
        <w:t>因此，分组单位应由实际采集结构和未来使用对象确定，不能只按文件名或光谱行号划分。</w:t>
      </w:r>
    </w:p>
    <w:p w14:paraId="44989667" w14:textId="77777777" w:rsidR="00727F41" w:rsidRDefault="00485E89">
      <w:pPr>
        <w:jc w:val="both"/>
      </w:pPr>
      <w:r>
        <w:t>预处理和模型选择也可能泄漏。利用全体数据拟合标准化、</w:t>
      </w:r>
      <w:r>
        <w:t>PCA</w:t>
      </w:r>
      <w:r>
        <w:t>、特征选择或超参数，都会使最终测试信息进入开发过程</w:t>
      </w:r>
      <w:r>
        <w:rPr>
          <w:sz w:val="18"/>
          <w:vertAlign w:val="superscript"/>
        </w:rPr>
        <w:t>[20]</w:t>
      </w:r>
      <w:r>
        <w:t>。</w:t>
      </w:r>
      <w:r>
        <w:t xml:space="preserve"> </w:t>
      </w:r>
      <w:r>
        <w:t>依赖数据的验证应围绕未来要预测的新对象设计：新试样、新批次和新仪器对应不同的外推问题</w:t>
      </w:r>
      <w:r>
        <w:rPr>
          <w:sz w:val="18"/>
          <w:vertAlign w:val="superscript"/>
        </w:rPr>
        <w:t>[23]</w:t>
      </w:r>
      <w:r>
        <w:t>。</w:t>
      </w:r>
      <w:r>
        <w:t xml:space="preserve"> </w:t>
      </w:r>
      <w:r>
        <w:t>分组验证得到较低性能，可能说明任务更接近真实外推，而不是算法质量必然下降；仍需先确认两种验证设置回答的是何种问题。</w:t>
      </w:r>
    </w:p>
    <w:p w14:paraId="2CCEBA25" w14:textId="77777777" w:rsidR="00727F41" w:rsidRDefault="00485E89">
      <w:pPr>
        <w:pStyle w:val="21"/>
      </w:pPr>
      <w:bookmarkStart w:id="22" w:name="_Toc244165154"/>
      <w:r>
        <w:t xml:space="preserve">5.3 </w:t>
      </w:r>
      <w:r>
        <w:t>干预与对照的作用</w:t>
      </w:r>
      <w:bookmarkEnd w:id="22"/>
    </w:p>
    <w:p w14:paraId="11C7F749" w14:textId="77777777" w:rsidR="00727F41" w:rsidRDefault="00485E89">
      <w:pPr>
        <w:jc w:val="both"/>
      </w:pPr>
      <w:r>
        <w:t>相关关系描述共同变化，干预则要求在明确假设下改变特定因素并观察后果。模型对某个波段敏感，并不等于改变相应化学成分就会产生同样的预测变化，因为波段还可能与背景和处理方式相关</w:t>
      </w:r>
      <w:r>
        <w:rPr>
          <w:sz w:val="18"/>
          <w:vertAlign w:val="superscript"/>
        </w:rPr>
        <w:t>[19]</w:t>
      </w:r>
      <w:r>
        <w:t>。</w:t>
      </w:r>
      <w:r>
        <w:t xml:space="preserve"> </w:t>
      </w:r>
      <w:r>
        <w:lastRenderedPageBreak/>
        <w:t>对光谱分类，可设计同一样品跨日期或跨仪器测量、同批次加入不同类别、改变基质但保持目标组分等对照，以区分化学信息和条件捷径。</w:t>
      </w:r>
    </w:p>
    <w:p w14:paraId="3F6656D4" w14:textId="77777777" w:rsidR="00727F41" w:rsidRDefault="00485E89">
      <w:pPr>
        <w:jc w:val="both"/>
      </w:pPr>
      <w:r>
        <w:t>对照方案需要遵守实际化学过程。若人为删去波段或独立扰乱每个变量，可能形成物理上不存在的光谱；其作用更接近模型压力测试。解释此类结果时，应说明扰动能否对应真实仪器或样品变化，避免把计算干预直接当作化学实验干预。</w:t>
      </w:r>
    </w:p>
    <w:p w14:paraId="541DDC67" w14:textId="77777777" w:rsidR="00727F41" w:rsidRDefault="00485E89">
      <w:pPr>
        <w:pStyle w:val="21"/>
      </w:pPr>
      <w:bookmarkStart w:id="23" w:name="_Toc244165155"/>
      <w:r>
        <w:t xml:space="preserve">5.4 </w:t>
      </w:r>
      <w:r>
        <w:t>归因稳定性与机制判断</w:t>
      </w:r>
      <w:bookmarkEnd w:id="23"/>
    </w:p>
    <w:p w14:paraId="189D5002" w14:textId="77777777" w:rsidR="00727F41" w:rsidRDefault="00485E89">
      <w:pPr>
        <w:jc w:val="both"/>
      </w:pPr>
      <w:r>
        <w:t>线性系数、</w:t>
      </w:r>
      <w:r>
        <w:t>PCA</w:t>
      </w:r>
      <w:r>
        <w:t>载荷和基于</w:t>
      </w:r>
      <w:r>
        <w:t>Shapley</w:t>
      </w:r>
      <w:r>
        <w:t>值的特征归因方法（</w:t>
      </w:r>
      <w:r>
        <w:t>SHapley Additive exPlanations</w:t>
      </w:r>
      <w:r>
        <w:t>，</w:t>
      </w:r>
      <w:r>
        <w:t>SHAP</w:t>
      </w:r>
      <w:r>
        <w:t>）等方法可以帮助描述模型对特征的依赖，但解释对象与尺度不同。</w:t>
      </w:r>
      <w:r>
        <w:t>SHAP</w:t>
      </w:r>
      <w:r>
        <w:t>在特定加性解释框架中分配特征贡献；对高度相关的波数，贡献分配还涉及特征依赖与背景选择</w:t>
      </w:r>
      <w:r>
        <w:rPr>
          <w:sz w:val="18"/>
          <w:vertAlign w:val="superscript"/>
        </w:rPr>
        <w:t>[24]</w:t>
      </w:r>
      <w:r>
        <w:t>。</w:t>
      </w:r>
      <w:r>
        <w:t xml:space="preserve"> </w:t>
      </w:r>
      <w:r>
        <w:t>显著图随机化检查提醒使用者，图形清晰并不足以说明解释反映了所学模型</w:t>
      </w:r>
      <w:r>
        <w:rPr>
          <w:sz w:val="18"/>
          <w:vertAlign w:val="superscript"/>
        </w:rPr>
        <w:t>[25]</w:t>
      </w:r>
      <w:r>
        <w:t>。</w:t>
      </w:r>
    </w:p>
    <w:p w14:paraId="6613287A" w14:textId="77777777" w:rsidR="00727F41" w:rsidRDefault="00485E89">
      <w:pPr>
        <w:jc w:val="both"/>
      </w:pPr>
      <w:r>
        <w:t>Yeh</w:t>
      </w:r>
      <w:r>
        <w:t>等分别定义解释的不忠实度和敏感性，指出恒定解释也可极稳定</w:t>
      </w:r>
      <w:r>
        <w:rPr>
          <w:sz w:val="18"/>
          <w:vertAlign w:val="superscript"/>
        </w:rPr>
        <w:t>[26]</w:t>
      </w:r>
      <w:r>
        <w:t>。</w:t>
      </w:r>
      <w:r>
        <w:t xml:space="preserve"> </w:t>
      </w:r>
      <w:r>
        <w:t>因而，光谱归因需要同时检查解释对合理扰动的稳定程度，以及归因能否反映模型输出变化。通过这些检验仍主要说明模型层面的解释质量，化学机制还需要峰归属、参比样品、独立仪器或其他实验结果支持。</w:t>
      </w:r>
    </w:p>
    <w:p w14:paraId="0804C2AA" w14:textId="77777777" w:rsidR="00727F41" w:rsidRDefault="00485E89">
      <w:pPr>
        <w:jc w:val="both"/>
      </w:pPr>
      <w:r>
        <w:t>注意力解释研究也不能被概括成单一口号。</w:t>
      </w:r>
      <w:r>
        <w:t>Jain</w:t>
      </w:r>
      <w:r>
        <w:t>与</w:t>
      </w:r>
      <w:r>
        <w:t>Wallace</w:t>
      </w:r>
      <w:r>
        <w:t>在</w:t>
      </w:r>
      <w:r>
        <w:t>RNN</w:t>
      </w:r>
      <w:r>
        <w:t>文本任务中给出注意力与其他重要性指标不一致等证据；</w:t>
      </w:r>
      <w:r>
        <w:t>Wiegreffe</w:t>
      </w:r>
      <w:r>
        <w:t>与</w:t>
      </w:r>
      <w:r>
        <w:t>Pinter</w:t>
      </w:r>
      <w:r>
        <w:t>则质疑部分检验前提，提出结合整体模型、随机种子和基线的诊断方式</w:t>
      </w:r>
      <w:r>
        <w:rPr>
          <w:sz w:val="18"/>
          <w:vertAlign w:val="superscript"/>
        </w:rPr>
        <w:t>[27,28]</w:t>
      </w:r>
      <w:r>
        <w:t>。</w:t>
      </w:r>
      <w:r>
        <w:t xml:space="preserve"> </w:t>
      </w:r>
      <w:r>
        <w:t>将其用于分析化学时，合理结论是注意力权重需要针对具体模型验证；上述</w:t>
      </w:r>
      <w:r>
        <w:t>NLP</w:t>
      </w:r>
      <w:r>
        <w:t>研究不能直接决定所有光谱注意力模型是否具有解释价值。</w:t>
      </w:r>
    </w:p>
    <w:p w14:paraId="39ACAE47" w14:textId="77777777" w:rsidR="00727F41" w:rsidRDefault="00485E89">
      <w:pPr>
        <w:pStyle w:val="1"/>
      </w:pPr>
      <w:bookmarkStart w:id="24" w:name="_Toc244165156"/>
      <w:r>
        <w:t>六、物理化学约束与方法验证</w:t>
      </w:r>
      <w:bookmarkEnd w:id="24"/>
    </w:p>
    <w:p w14:paraId="30A6AE50" w14:textId="77777777" w:rsidR="00727F41" w:rsidRDefault="00485E89">
      <w:pPr>
        <w:pStyle w:val="21"/>
      </w:pPr>
      <w:bookmarkStart w:id="25" w:name="_Toc244165157"/>
      <w:r>
        <w:t xml:space="preserve">6.1 </w:t>
      </w:r>
      <w:r>
        <w:t>约束知识的使用条件</w:t>
      </w:r>
      <w:bookmarkEnd w:id="25"/>
    </w:p>
    <w:p w14:paraId="057A08B6" w14:textId="77777777" w:rsidR="00727F41" w:rsidRDefault="00485E89">
      <w:pPr>
        <w:jc w:val="both"/>
      </w:pPr>
      <w:r>
        <w:t>物理化学知识可以约束输入、模型结构或输出。例如，特定测量条件下的守恒关系可限定组分解释，非负性可约束有相应物理含义的浓度，仪器响应关系可参与定量建模。约束的价值在于利用与任务有关的信息，但约束是否成立必须先于模型性能讨论</w:t>
      </w:r>
      <w:r>
        <w:rPr>
          <w:sz w:val="18"/>
          <w:vertAlign w:val="superscript"/>
        </w:rPr>
        <w:t>[29]</w:t>
      </w:r>
      <w:r>
        <w:t>。</w:t>
      </w:r>
    </w:p>
    <w:p w14:paraId="35ACD2D5" w14:textId="77777777" w:rsidR="00727F41" w:rsidRDefault="00485E89">
      <w:pPr>
        <w:jc w:val="both"/>
      </w:pPr>
      <w:r>
        <w:t>光谱预处理后的变量不一定保持原始物理含义：基线校正后出现负值不应一律判为物理错误，吸光度与浓度的简化关系也有测量条件和范围限制。把非负或单调关系强加到不满足条件的数据，可能产生新的偏差。因此，应写清约束施加在原始测量量、潜变量还是预测输出上，以及违反约束时如何调查。</w:t>
      </w:r>
    </w:p>
    <w:p w14:paraId="42210F5E" w14:textId="77777777" w:rsidR="00727F41" w:rsidRDefault="00485E89">
      <w:pPr>
        <w:pStyle w:val="21"/>
      </w:pPr>
      <w:bookmarkStart w:id="26" w:name="_Toc244165158"/>
      <w:r>
        <w:t xml:space="preserve">6.2 </w:t>
      </w:r>
      <w:r>
        <w:t>机理与数据模型的结合</w:t>
      </w:r>
      <w:bookmarkEnd w:id="26"/>
    </w:p>
    <w:p w14:paraId="095768C3" w14:textId="77777777" w:rsidR="00727F41" w:rsidRDefault="00485E89">
      <w:pPr>
        <w:jc w:val="both"/>
      </w:pPr>
      <w:r>
        <w:t>机理和数据模型可以通过固定结构、参数约束、残差建模或损失函数结合。物理信息神经网络是将特定方程关系纳入训练的一类代表方法；其原始研究针对偏微分方程正逆问题，不能仅凭这一名称</w:t>
      </w:r>
      <w:r>
        <w:lastRenderedPageBreak/>
        <w:t>证明其适合所有光谱分类任务</w:t>
      </w:r>
      <w:r>
        <w:rPr>
          <w:sz w:val="18"/>
          <w:vertAlign w:val="superscript"/>
        </w:rPr>
        <w:t>[29,30]</w:t>
      </w:r>
      <w:r>
        <w:t>。</w:t>
      </w:r>
      <w:r>
        <w:t xml:space="preserve"> </w:t>
      </w:r>
      <w:r>
        <w:t>对规模有限的分类作业，先采用可诊断基线和清楚的验证设计，往往更有助于定位问题来源。</w:t>
      </w:r>
    </w:p>
    <w:p w14:paraId="795AAB9F" w14:textId="77777777" w:rsidR="00727F41" w:rsidRDefault="00485E89">
      <w:pPr>
        <w:pStyle w:val="21"/>
      </w:pPr>
      <w:bookmarkStart w:id="27" w:name="_Toc244165159"/>
      <w:r>
        <w:t xml:space="preserve">6.3 </w:t>
      </w:r>
      <w:r>
        <w:t>分析性能与机器学习指标</w:t>
      </w:r>
      <w:bookmarkEnd w:id="27"/>
    </w:p>
    <w:p w14:paraId="2676E81A" w14:textId="77777777" w:rsidR="00727F41" w:rsidRDefault="00485E89">
      <w:pPr>
        <w:jc w:val="both"/>
      </w:pPr>
      <w:r>
        <w:t>Eurachem</w:t>
      </w:r>
      <w:r>
        <w:t>方法验证指南强调根据用途制定验证计划，评价选择性、偏倚、精密度、不确定度等性能</w:t>
      </w:r>
      <w:r>
        <w:rPr>
          <w:sz w:val="18"/>
          <w:vertAlign w:val="superscript"/>
        </w:rPr>
        <w:t>[5]</w:t>
      </w:r>
      <w:r>
        <w:t>。</w:t>
      </w:r>
      <w:r>
        <w:t xml:space="preserve"> </w:t>
      </w:r>
      <w:r>
        <w:t>智能分析可借用这一组织原则，但应分别定义计量学术语和分类指标。分类</w:t>
      </w:r>
      <w:r>
        <w:t>precision</w:t>
      </w:r>
      <w:r>
        <w:t>的中文常译</w:t>
      </w:r>
      <w:r>
        <w:t>“</w:t>
      </w:r>
      <w:r>
        <w:t>精确率</w:t>
      </w:r>
      <w:r>
        <w:t>”</w:t>
      </w:r>
      <w:r>
        <w:t>，其分母是预测阳性样本数；测量精密度关注规定条件下重复结果的分散，二者并非同一性质。</w:t>
      </w:r>
    </w:p>
    <w:p w14:paraId="3AB2F24E" w14:textId="77777777" w:rsidR="00727F41" w:rsidRDefault="00485E89">
      <w:pPr>
        <w:jc w:val="both"/>
      </w:pPr>
      <w:r>
        <w:t>定量方法的线性范围、检出限和定量限，也不能由分类准确率推导。若论文只实施分类案例，可以讨论这些验证问题与可信分析的关系，但应将实际证据限定在分类、概率质量和拒识表现。分析方法的稳健性还涉及合理的小幅条件变化，重复运行同一代码不等于完成这一验证</w:t>
      </w:r>
      <w:r>
        <w:rPr>
          <w:sz w:val="18"/>
          <w:vertAlign w:val="superscript"/>
        </w:rPr>
        <w:t>[5]</w:t>
      </w:r>
      <w:r>
        <w:t>。</w:t>
      </w:r>
    </w:p>
    <w:p w14:paraId="7E067166" w14:textId="77777777" w:rsidR="00727F41" w:rsidRDefault="00485E89">
      <w:pPr>
        <w:pStyle w:val="21"/>
      </w:pPr>
      <w:bookmarkStart w:id="28" w:name="_Toc244165160"/>
      <w:r>
        <w:t xml:space="preserve">6.4 </w:t>
      </w:r>
      <w:r>
        <w:t>记录与变更后的再评价</w:t>
      </w:r>
      <w:bookmarkEnd w:id="28"/>
    </w:p>
    <w:p w14:paraId="583958CE" w14:textId="77777777" w:rsidR="00727F41" w:rsidRDefault="00485E89">
      <w:pPr>
        <w:jc w:val="both"/>
      </w:pPr>
      <w:r>
        <w:t>可复核报告应交代数据版本、排除规则、划分单位、预处理、模型参数、软件依赖和评价方式。</w:t>
      </w:r>
      <w:r>
        <w:t>REFORMS</w:t>
      </w:r>
      <w:r>
        <w:t>提供机器学习科学研究的报告建议，有助于检查这些材料是否足以复核，但报告齐全不能代替数据质量和外部验证</w:t>
      </w:r>
      <w:r>
        <w:rPr>
          <w:sz w:val="18"/>
          <w:vertAlign w:val="superscript"/>
        </w:rPr>
        <w:t>[31]</w:t>
      </w:r>
      <w:r>
        <w:t>。</w:t>
      </w:r>
      <w:r>
        <w:t xml:space="preserve"> </w:t>
      </w:r>
      <w:r>
        <w:t>更换仪器、谱库或预处理规则后，应检查原校准与拒识阈值是否仍适用；方法变更产生的新结论，应有相应的新证据。</w:t>
      </w:r>
    </w:p>
    <w:p w14:paraId="2B10AF54" w14:textId="77777777" w:rsidR="00727F41" w:rsidRDefault="00485E89">
      <w:pPr>
        <w:pStyle w:val="1"/>
      </w:pPr>
      <w:bookmarkStart w:id="29" w:name="_Toc244165161"/>
      <w:r>
        <w:t>七、拉曼分类实验与前沿讨论</w:t>
      </w:r>
      <w:bookmarkEnd w:id="29"/>
    </w:p>
    <w:p w14:paraId="3A22F0D9" w14:textId="77777777" w:rsidR="00727F41" w:rsidRDefault="00485E89">
      <w:pPr>
        <w:pStyle w:val="21"/>
      </w:pPr>
      <w:bookmarkStart w:id="30" w:name="_Toc244165162"/>
      <w:r>
        <w:t xml:space="preserve">7.1 </w:t>
      </w:r>
      <w:r>
        <w:t>数据来源与标签审计</w:t>
      </w:r>
      <w:bookmarkEnd w:id="30"/>
    </w:p>
    <w:p w14:paraId="697E8BAC" w14:textId="77777777" w:rsidR="00727F41" w:rsidRDefault="00485E89">
      <w:pPr>
        <w:jc w:val="both"/>
      </w:pPr>
      <w:r>
        <w:t>数据来自</w:t>
      </w:r>
      <w:r>
        <w:t>Celestian</w:t>
      </w:r>
      <w:r>
        <w:t>于</w:t>
      </w:r>
      <w:r>
        <w:t>Zenodo</w:t>
      </w:r>
      <w:r>
        <w:t>发布的</w:t>
      </w:r>
      <w:r>
        <w:t>RamanLab</w:t>
      </w:r>
      <w:r>
        <w:t>整理库</w:t>
      </w:r>
      <w:r>
        <w:t>v1</w:t>
      </w:r>
      <w:r>
        <w:t>，原始来源包含</w:t>
      </w:r>
      <w:r>
        <w:t>RRUFF</w:t>
      </w:r>
      <w:r>
        <w:t>等谱库；本文仅使用带</w:t>
      </w:r>
      <w:r>
        <w:t>RRUFF</w:t>
      </w:r>
      <w:r>
        <w:t>编号和链接的记录。整理库</w:t>
      </w:r>
      <w:r>
        <w:t>API</w:t>
      </w:r>
      <w:r>
        <w:t>声明</w:t>
      </w:r>
      <w:r>
        <w:t>CC BY 4.0</w:t>
      </w:r>
      <w:r>
        <w:t>，本文保留整理者和</w:t>
      </w:r>
      <w:r>
        <w:t>RRUFF</w:t>
      </w:r>
      <w:r>
        <w:t>署名、版本、源文件散列及逐谱来源。源文件扩展名为</w:t>
      </w:r>
      <w:r>
        <w:t>.sqlite</w:t>
      </w:r>
      <w:r>
        <w:t>，实际内容为数据字典序列化；读取程序禁止加载可执行类</w:t>
      </w:r>
      <w:r>
        <w:rPr>
          <w:sz w:val="18"/>
          <w:vertAlign w:val="superscript"/>
        </w:rPr>
        <w:t>[32,33]</w:t>
      </w:r>
      <w:r>
        <w:t>。</w:t>
      </w:r>
    </w:p>
    <w:p w14:paraId="36C13355" w14:textId="77777777" w:rsidR="00727F41" w:rsidRDefault="00485E89">
      <w:pPr>
        <w:jc w:val="both"/>
      </w:pPr>
      <w:r>
        <w:t>先导实验发现</w:t>
      </w:r>
      <w:r>
        <w:t>HEY CLASSIFICATION</w:t>
      </w:r>
      <w:r>
        <w:t>分类与化学式冲突。例如</w:t>
      </w:r>
      <w:r>
        <w:t>Gaspéite</w:t>
      </w:r>
      <w:r>
        <w:t>编号</w:t>
      </w:r>
      <w:r>
        <w:t>R040157</w:t>
      </w:r>
      <w:r>
        <w:t>的理想化学式为</w:t>
      </w:r>
      <w:r>
        <w:t>NiCO₃</w:t>
      </w:r>
      <w:r>
        <w:t>，却被整理字段归为</w:t>
      </w:r>
      <w:r>
        <w:t>Oxides and Hydroxides</w:t>
      </w:r>
      <w:r>
        <w:t>；</w:t>
      </w:r>
      <w:r>
        <w:t>CSIRO</w:t>
      </w:r>
      <w:r>
        <w:t>材料库将</w:t>
      </w:r>
      <w:r>
        <w:t>Gaspéite</w:t>
      </w:r>
      <w:r>
        <w:t>列为含</w:t>
      </w:r>
      <w:r>
        <w:t>CO₃</w:t>
      </w:r>
      <w:r>
        <w:t>材料及碳酸盐</w:t>
      </w:r>
      <w:r>
        <w:rPr>
          <w:sz w:val="18"/>
          <w:vertAlign w:val="superscript"/>
        </w:rPr>
        <w:t>[34]</w:t>
      </w:r>
      <w:r>
        <w:t>。</w:t>
      </w:r>
      <w:r>
        <w:t xml:space="preserve"> </w:t>
      </w:r>
      <w:r>
        <w:t>因而模型预测</w:t>
      </w:r>
      <w:r>
        <w:t>“Carbonates”</w:t>
      </w:r>
      <w:r>
        <w:t>与该字段不一致，应先调查标签，不能直接认定为已经证实的化学识别错误。该冲突定位于所下载整理文件，不据此认定原</w:t>
      </w:r>
      <w:r>
        <w:t>RRUFF</w:t>
      </w:r>
      <w:r>
        <w:t>谱库的全部分类均有同样问题。</w:t>
      </w:r>
    </w:p>
    <w:p w14:paraId="2CDB024C" w14:textId="77777777" w:rsidR="00727F41" w:rsidRDefault="00485E89">
      <w:pPr>
        <w:jc w:val="both"/>
      </w:pPr>
      <w:r>
        <w:t>为避免看过测试结果后修补标签并在同一数据上宣称进步，确认实验排除先导过程中接触过的全部</w:t>
      </w:r>
      <w:r>
        <w:t>340</w:t>
      </w:r>
      <w:r>
        <w:t>个</w:t>
      </w:r>
      <w:r>
        <w:t>RRUFF</w:t>
      </w:r>
      <w:r>
        <w:t>编号，重新确定有限教学任务。标签由来源理想化学式字符串规则生成：解码格式标记后检查</w:t>
      </w:r>
      <w:r>
        <w:t>CO3</w:t>
      </w:r>
      <w:r>
        <w:t>、</w:t>
      </w:r>
      <w:r>
        <w:t>SO4</w:t>
      </w:r>
      <w:r>
        <w:t>、</w:t>
      </w:r>
      <w:r>
        <w:t>PO4</w:t>
      </w:r>
      <w:r>
        <w:t>、</w:t>
      </w:r>
      <w:r>
        <w:t>AsO4</w:t>
      </w:r>
      <w:r>
        <w:t>，大小写敏感，仅命中其中一个且属于前三者的记录依次标为碳</w:t>
      </w:r>
      <w:r>
        <w:lastRenderedPageBreak/>
        <w:t>酸根、硫酸根、磷酸根规则类。未知材料含</w:t>
      </w:r>
      <w:r>
        <w:t>Si</w:t>
      </w:r>
      <w:r>
        <w:t>且含</w:t>
      </w:r>
      <w:r>
        <w:t>O</w:t>
      </w:r>
      <w:r>
        <w:t>，同时不含上述四个目标基团。该未知组包含</w:t>
      </w:r>
      <w:r>
        <w:t>SiO₂</w:t>
      </w:r>
      <w:r>
        <w:t>等材料，因此不统称为硅酸盐。化学式参与标签构造，不作为模型特征；这套规则也不替代全面矿物学鉴定或样品纯度核验。</w:t>
      </w:r>
    </w:p>
    <w:p w14:paraId="68F3DCD9" w14:textId="77777777" w:rsidR="00727F41" w:rsidRDefault="00485E89">
      <w:pPr>
        <w:jc w:val="both"/>
      </w:pPr>
      <w:r>
        <w:t>数据固定为</w:t>
      </w:r>
      <w:r>
        <w:t>532 nm</w:t>
      </w:r>
      <w:r>
        <w:t>、已处理、非定向且覆盖</w:t>
      </w:r>
      <w:r>
        <w:t>200–1200 cm⁻¹</w:t>
      </w:r>
      <w:r>
        <w:t>的谱。以</w:t>
      </w:r>
      <w:r>
        <w:t>R</w:t>
      </w:r>
      <w:r>
        <w:t>加六位数字为保守分组键，每个编号取排序后第一条合格记录；线性插值至间隔</w:t>
      </w:r>
      <w:r>
        <w:t>2 cm⁻¹</w:t>
      </w:r>
      <w:r>
        <w:t>的</w:t>
      </w:r>
      <w:r>
        <w:t>501</w:t>
      </w:r>
      <w:r>
        <w:t>点，排除非有限、常数及完全相同的插值谱。三个已知规则类各</w:t>
      </w:r>
      <w:r>
        <w:t>60</w:t>
      </w:r>
      <w:r>
        <w:t>个新编号，未知组</w:t>
      </w:r>
      <w:r>
        <w:t>100</w:t>
      </w:r>
      <w:r>
        <w:t>个，共</w:t>
      </w:r>
      <w:r>
        <w:t>280</w:t>
      </w:r>
      <w:r>
        <w:t>个。编号重复和完全重复信号均为</w:t>
      </w:r>
      <w:r>
        <w:t>0</w:t>
      </w:r>
      <w:r>
        <w:t>，先导交集为</w:t>
      </w:r>
      <w:r>
        <w:t>0</w:t>
      </w:r>
      <w:r>
        <w:t>；编号隔离仍不足以证明按矿物种、产地或仪器批次隔离。图</w:t>
      </w:r>
      <w:r>
        <w:t>3</w:t>
      </w:r>
      <w:r>
        <w:t>呈现训练谱均值和主成分得分。</w:t>
      </w:r>
    </w:p>
    <w:p w14:paraId="6E6C565B" w14:textId="77777777" w:rsidR="00727F41" w:rsidRDefault="00485E89">
      <w:pPr>
        <w:keepNext/>
        <w:ind w:firstLine="0"/>
        <w:jc w:val="center"/>
      </w:pPr>
      <w:r>
        <w:rPr>
          <w:noProof/>
        </w:rPr>
        <w:drawing>
          <wp:inline distT="0" distB="0" distL="0" distR="0" wp14:anchorId="627A1743" wp14:editId="00DB41BB">
            <wp:extent cx="6172200" cy="2305437"/>
            <wp:effectExtent l="0" t="0" r="0" b="0"/>
            <wp:docPr id="3" name="Picture 3" descr="训练拉曼谱与主成分得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ectra_pca.png"/>
                    <pic:cNvPicPr/>
                  </pic:nvPicPr>
                  <pic:blipFill>
                    <a:blip r:embed="rId10"/>
                    <a:stretch>
                      <a:fillRect/>
                    </a:stretch>
                  </pic:blipFill>
                  <pic:spPr>
                    <a:xfrm>
                      <a:off x="0" y="0"/>
                      <a:ext cx="6172200" cy="2305437"/>
                    </a:xfrm>
                    <a:prstGeom prst="rect">
                      <a:avLst/>
                    </a:prstGeom>
                  </pic:spPr>
                </pic:pic>
              </a:graphicData>
            </a:graphic>
          </wp:inline>
        </w:drawing>
      </w:r>
    </w:p>
    <w:p w14:paraId="4D39E5FB" w14:textId="77777777" w:rsidR="00727F41" w:rsidRDefault="00485E89">
      <w:pPr>
        <w:pStyle w:val="af7"/>
      </w:pPr>
      <w:r>
        <w:t>图</w:t>
      </w:r>
      <w:r>
        <w:t xml:space="preserve">3 </w:t>
      </w:r>
      <w:r>
        <w:t>训练数据的逐谱</w:t>
      </w:r>
      <w:r>
        <w:t>SNV</w:t>
      </w:r>
      <w:r>
        <w:t>均值和</w:t>
      </w:r>
      <w:r>
        <w:t>PCA</w:t>
      </w:r>
      <w:r>
        <w:t>得分。每个已知规则类</w:t>
      </w:r>
      <w:r>
        <w:t>30</w:t>
      </w:r>
      <w:r>
        <w:t>个训练编号；</w:t>
      </w:r>
      <w:r>
        <w:t>PCA</w:t>
      </w:r>
      <w:r>
        <w:t>仅在训练数据拟合。展示的是训练结构，未据图挑选最终测试样品。</w:t>
      </w:r>
    </w:p>
    <w:p w14:paraId="4138B104" w14:textId="77777777" w:rsidR="00727F41" w:rsidRDefault="00485E89">
      <w:pPr>
        <w:pStyle w:val="21"/>
      </w:pPr>
      <w:bookmarkStart w:id="31" w:name="_Toc244165163"/>
      <w:r>
        <w:t xml:space="preserve">7.2 </w:t>
      </w:r>
      <w:r>
        <w:t>建模与概率校准</w:t>
      </w:r>
      <w:bookmarkEnd w:id="31"/>
    </w:p>
    <w:p w14:paraId="36EBB055" w14:textId="77777777" w:rsidR="00727F41" w:rsidRDefault="00485E89">
      <w:pPr>
        <w:jc w:val="both"/>
      </w:pPr>
      <w:r>
        <w:t>预设主种子为</w:t>
      </w:r>
      <w:r>
        <w:t>2026102901</w:t>
      </w:r>
      <w:r>
        <w:t>，各已知类分别分配</w:t>
      </w:r>
      <w:r>
        <w:t>30/10/8/12</w:t>
      </w:r>
      <w:r>
        <w:t>个编号进入训练、概率校准、阈值验证和最终测试，表</w:t>
      </w:r>
      <w:r>
        <w:t>3</w:t>
      </w:r>
      <w:r>
        <w:t>列出总数。所有角色互斥，未知组不参与任何拟合或阈值选择。逐谱标准正态变量变换（</w:t>
      </w:r>
      <w:r>
        <w:t>standard normal variate</w:t>
      </w:r>
      <w:r>
        <w:t>，</w:t>
      </w:r>
      <w:r>
        <w:t>SNV</w:t>
      </w:r>
      <w:r>
        <w:t>）只使用该谱自身的均值和样本标准差；</w:t>
      </w:r>
      <w:r>
        <w:t>PCA</w:t>
      </w:r>
      <w:r>
        <w:t>的中心与载荷在训练中估计。</w:t>
      </w:r>
    </w:p>
    <w:p w14:paraId="0AD88A78" w14:textId="77777777" w:rsidR="00727F41" w:rsidRDefault="00485E89">
      <w:pPr>
        <w:pStyle w:val="af7"/>
        <w:keepNext/>
      </w:pPr>
      <w:r>
        <w:lastRenderedPageBreak/>
        <w:t>表</w:t>
      </w:r>
      <w:r>
        <w:t xml:space="preserve">3 </w:t>
      </w:r>
      <w:r>
        <w:t>主实验数据角色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3888"/>
        <w:gridCol w:w="3888"/>
      </w:tblGrid>
      <w:tr w:rsidR="00727F41" w14:paraId="57B8635D" w14:textId="77777777">
        <w:trPr>
          <w:cantSplit/>
          <w:tblHeader/>
          <w:jc w:val="center"/>
        </w:trPr>
        <w:tc>
          <w:tcPr>
            <w:tcW w:w="2016" w:type="dxa"/>
            <w:shd w:val="clear" w:color="auto" w:fill="E9EFF3"/>
            <w:tcMar>
              <w:top w:w="90" w:type="dxa"/>
              <w:left w:w="90" w:type="dxa"/>
              <w:bottom w:w="90" w:type="dxa"/>
              <w:right w:w="90" w:type="dxa"/>
            </w:tcMar>
            <w:vAlign w:val="center"/>
          </w:tcPr>
          <w:p w14:paraId="3044CC0D" w14:textId="77777777" w:rsidR="00727F41" w:rsidRDefault="00485E89">
            <w:pPr>
              <w:keepNext/>
              <w:spacing w:before="20" w:after="20" w:line="240" w:lineRule="auto"/>
              <w:ind w:firstLine="0"/>
              <w:jc w:val="center"/>
            </w:pPr>
            <w:r>
              <w:rPr>
                <w:b/>
                <w:sz w:val="20"/>
              </w:rPr>
              <w:t>数据角色</w:t>
            </w:r>
          </w:p>
        </w:tc>
        <w:tc>
          <w:tcPr>
            <w:tcW w:w="3888" w:type="dxa"/>
            <w:shd w:val="clear" w:color="auto" w:fill="E9EFF3"/>
            <w:tcMar>
              <w:top w:w="90" w:type="dxa"/>
              <w:left w:w="90" w:type="dxa"/>
              <w:bottom w:w="90" w:type="dxa"/>
              <w:right w:w="90" w:type="dxa"/>
            </w:tcMar>
            <w:vAlign w:val="center"/>
          </w:tcPr>
          <w:p w14:paraId="5A54D9E0" w14:textId="77777777" w:rsidR="00727F41" w:rsidRDefault="00485E89">
            <w:pPr>
              <w:keepNext/>
              <w:spacing w:before="20" w:after="20" w:line="240" w:lineRule="auto"/>
              <w:ind w:firstLine="0"/>
            </w:pPr>
            <w:r>
              <w:rPr>
                <w:b/>
                <w:sz w:val="20"/>
              </w:rPr>
              <w:t>编号数</w:t>
            </w:r>
          </w:p>
        </w:tc>
        <w:tc>
          <w:tcPr>
            <w:tcW w:w="3888" w:type="dxa"/>
            <w:shd w:val="clear" w:color="auto" w:fill="E9EFF3"/>
            <w:tcMar>
              <w:top w:w="90" w:type="dxa"/>
              <w:left w:w="90" w:type="dxa"/>
              <w:bottom w:w="90" w:type="dxa"/>
              <w:right w:w="90" w:type="dxa"/>
            </w:tcMar>
            <w:vAlign w:val="center"/>
          </w:tcPr>
          <w:p w14:paraId="04374756" w14:textId="77777777" w:rsidR="00727F41" w:rsidRDefault="00485E89">
            <w:pPr>
              <w:keepNext/>
              <w:spacing w:before="20" w:after="20" w:line="240" w:lineRule="auto"/>
              <w:ind w:firstLine="0"/>
            </w:pPr>
            <w:r>
              <w:rPr>
                <w:b/>
                <w:sz w:val="20"/>
              </w:rPr>
              <w:t>使用范围</w:t>
            </w:r>
          </w:p>
        </w:tc>
      </w:tr>
      <w:tr w:rsidR="00727F41" w14:paraId="51FFA009" w14:textId="77777777">
        <w:trPr>
          <w:cantSplit/>
          <w:jc w:val="center"/>
        </w:trPr>
        <w:tc>
          <w:tcPr>
            <w:tcW w:w="2016" w:type="dxa"/>
            <w:shd w:val="clear" w:color="auto" w:fill="FFFFFF"/>
            <w:tcMar>
              <w:top w:w="90" w:type="dxa"/>
              <w:left w:w="90" w:type="dxa"/>
              <w:bottom w:w="90" w:type="dxa"/>
              <w:right w:w="90" w:type="dxa"/>
            </w:tcMar>
            <w:vAlign w:val="center"/>
          </w:tcPr>
          <w:p w14:paraId="57C8DEAB" w14:textId="77777777" w:rsidR="00727F41" w:rsidRDefault="00485E89">
            <w:pPr>
              <w:keepNext/>
              <w:spacing w:before="20" w:after="20" w:line="240" w:lineRule="auto"/>
              <w:ind w:firstLine="0"/>
              <w:jc w:val="center"/>
            </w:pPr>
            <w:r>
              <w:rPr>
                <w:sz w:val="20"/>
              </w:rPr>
              <w:t>训练</w:t>
            </w:r>
          </w:p>
        </w:tc>
        <w:tc>
          <w:tcPr>
            <w:tcW w:w="3888" w:type="dxa"/>
            <w:shd w:val="clear" w:color="auto" w:fill="FFFFFF"/>
            <w:tcMar>
              <w:top w:w="90" w:type="dxa"/>
              <w:left w:w="90" w:type="dxa"/>
              <w:bottom w:w="90" w:type="dxa"/>
              <w:right w:w="90" w:type="dxa"/>
            </w:tcMar>
            <w:vAlign w:val="center"/>
          </w:tcPr>
          <w:p w14:paraId="501337F0" w14:textId="77777777" w:rsidR="00727F41" w:rsidRDefault="00485E89">
            <w:pPr>
              <w:keepNext/>
              <w:spacing w:before="20" w:after="20" w:line="240" w:lineRule="auto"/>
              <w:ind w:firstLine="0"/>
            </w:pPr>
            <w:r>
              <w:rPr>
                <w:sz w:val="20"/>
              </w:rPr>
              <w:t>90</w:t>
            </w:r>
          </w:p>
        </w:tc>
        <w:tc>
          <w:tcPr>
            <w:tcW w:w="3888" w:type="dxa"/>
            <w:shd w:val="clear" w:color="auto" w:fill="FFFFFF"/>
            <w:tcMar>
              <w:top w:w="90" w:type="dxa"/>
              <w:left w:w="90" w:type="dxa"/>
              <w:bottom w:w="90" w:type="dxa"/>
              <w:right w:w="90" w:type="dxa"/>
            </w:tcMar>
            <w:vAlign w:val="center"/>
          </w:tcPr>
          <w:p w14:paraId="0C55C8A9" w14:textId="77777777" w:rsidR="00727F41" w:rsidRDefault="00485E89">
            <w:pPr>
              <w:keepNext/>
              <w:spacing w:before="20" w:after="20" w:line="240" w:lineRule="auto"/>
              <w:ind w:firstLine="0"/>
            </w:pPr>
            <w:r>
              <w:rPr>
                <w:sz w:val="20"/>
              </w:rPr>
              <w:t>四折交叉验证及最终模型拟合</w:t>
            </w:r>
          </w:p>
        </w:tc>
      </w:tr>
      <w:tr w:rsidR="00727F41" w14:paraId="046738B3" w14:textId="77777777">
        <w:trPr>
          <w:cantSplit/>
          <w:jc w:val="center"/>
        </w:trPr>
        <w:tc>
          <w:tcPr>
            <w:tcW w:w="2016" w:type="dxa"/>
            <w:shd w:val="clear" w:color="auto" w:fill="F8FAFC"/>
            <w:tcMar>
              <w:top w:w="90" w:type="dxa"/>
              <w:left w:w="90" w:type="dxa"/>
              <w:bottom w:w="90" w:type="dxa"/>
              <w:right w:w="90" w:type="dxa"/>
            </w:tcMar>
            <w:vAlign w:val="center"/>
          </w:tcPr>
          <w:p w14:paraId="56AB4C4A" w14:textId="77777777" w:rsidR="00727F41" w:rsidRDefault="00485E89">
            <w:pPr>
              <w:keepNext/>
              <w:spacing w:before="20" w:after="20" w:line="240" w:lineRule="auto"/>
              <w:ind w:firstLine="0"/>
              <w:jc w:val="center"/>
            </w:pPr>
            <w:r>
              <w:rPr>
                <w:sz w:val="20"/>
              </w:rPr>
              <w:t>概率校准</w:t>
            </w:r>
          </w:p>
        </w:tc>
        <w:tc>
          <w:tcPr>
            <w:tcW w:w="3888" w:type="dxa"/>
            <w:shd w:val="clear" w:color="auto" w:fill="F8FAFC"/>
            <w:tcMar>
              <w:top w:w="90" w:type="dxa"/>
              <w:left w:w="90" w:type="dxa"/>
              <w:bottom w:w="90" w:type="dxa"/>
              <w:right w:w="90" w:type="dxa"/>
            </w:tcMar>
            <w:vAlign w:val="center"/>
          </w:tcPr>
          <w:p w14:paraId="049A969E" w14:textId="77777777" w:rsidR="00727F41" w:rsidRDefault="00485E89">
            <w:pPr>
              <w:keepNext/>
              <w:spacing w:before="20" w:after="20" w:line="240" w:lineRule="auto"/>
              <w:ind w:firstLine="0"/>
            </w:pPr>
            <w:r>
              <w:rPr>
                <w:sz w:val="20"/>
              </w:rPr>
              <w:t>30</w:t>
            </w:r>
          </w:p>
        </w:tc>
        <w:tc>
          <w:tcPr>
            <w:tcW w:w="3888" w:type="dxa"/>
            <w:shd w:val="clear" w:color="auto" w:fill="F8FAFC"/>
            <w:tcMar>
              <w:top w:w="90" w:type="dxa"/>
              <w:left w:w="90" w:type="dxa"/>
              <w:bottom w:w="90" w:type="dxa"/>
              <w:right w:w="90" w:type="dxa"/>
            </w:tcMar>
            <w:vAlign w:val="center"/>
          </w:tcPr>
          <w:p w14:paraId="3990D5CF" w14:textId="77777777" w:rsidR="00727F41" w:rsidRDefault="00485E89">
            <w:pPr>
              <w:keepNext/>
              <w:spacing w:before="20" w:after="20" w:line="240" w:lineRule="auto"/>
              <w:ind w:firstLine="0"/>
            </w:pPr>
            <w:r>
              <w:rPr>
                <w:sz w:val="20"/>
              </w:rPr>
              <w:t>拟合一个共同正温度</w:t>
            </w:r>
          </w:p>
        </w:tc>
      </w:tr>
      <w:tr w:rsidR="00727F41" w14:paraId="30112AB4" w14:textId="77777777">
        <w:trPr>
          <w:cantSplit/>
          <w:jc w:val="center"/>
        </w:trPr>
        <w:tc>
          <w:tcPr>
            <w:tcW w:w="2016" w:type="dxa"/>
            <w:shd w:val="clear" w:color="auto" w:fill="FFFFFF"/>
            <w:tcMar>
              <w:top w:w="90" w:type="dxa"/>
              <w:left w:w="90" w:type="dxa"/>
              <w:bottom w:w="90" w:type="dxa"/>
              <w:right w:w="90" w:type="dxa"/>
            </w:tcMar>
            <w:vAlign w:val="center"/>
          </w:tcPr>
          <w:p w14:paraId="06F6DDFB" w14:textId="77777777" w:rsidR="00727F41" w:rsidRDefault="00485E89">
            <w:pPr>
              <w:keepNext/>
              <w:spacing w:before="20" w:after="20" w:line="240" w:lineRule="auto"/>
              <w:ind w:firstLine="0"/>
              <w:jc w:val="center"/>
            </w:pPr>
            <w:r>
              <w:rPr>
                <w:sz w:val="20"/>
              </w:rPr>
              <w:t>阈值验证</w:t>
            </w:r>
          </w:p>
        </w:tc>
        <w:tc>
          <w:tcPr>
            <w:tcW w:w="3888" w:type="dxa"/>
            <w:shd w:val="clear" w:color="auto" w:fill="FFFFFF"/>
            <w:tcMar>
              <w:top w:w="90" w:type="dxa"/>
              <w:left w:w="90" w:type="dxa"/>
              <w:bottom w:w="90" w:type="dxa"/>
              <w:right w:w="90" w:type="dxa"/>
            </w:tcMar>
            <w:vAlign w:val="center"/>
          </w:tcPr>
          <w:p w14:paraId="47AEAD71" w14:textId="77777777" w:rsidR="00727F41" w:rsidRDefault="00485E89">
            <w:pPr>
              <w:keepNext/>
              <w:spacing w:before="20" w:after="20" w:line="240" w:lineRule="auto"/>
              <w:ind w:firstLine="0"/>
            </w:pPr>
            <w:r>
              <w:rPr>
                <w:sz w:val="20"/>
              </w:rPr>
              <w:t>24</w:t>
            </w:r>
          </w:p>
        </w:tc>
        <w:tc>
          <w:tcPr>
            <w:tcW w:w="3888" w:type="dxa"/>
            <w:shd w:val="clear" w:color="auto" w:fill="FFFFFF"/>
            <w:tcMar>
              <w:top w:w="90" w:type="dxa"/>
              <w:left w:w="90" w:type="dxa"/>
              <w:bottom w:w="90" w:type="dxa"/>
              <w:right w:w="90" w:type="dxa"/>
            </w:tcMar>
            <w:vAlign w:val="center"/>
          </w:tcPr>
          <w:p w14:paraId="134097ED" w14:textId="77777777" w:rsidR="00727F41" w:rsidRDefault="00485E89">
            <w:pPr>
              <w:keepNext/>
              <w:spacing w:before="20" w:after="20" w:line="240" w:lineRule="auto"/>
              <w:ind w:firstLine="0"/>
            </w:pPr>
            <w:r>
              <w:rPr>
                <w:sz w:val="20"/>
              </w:rPr>
              <w:t>确定拒识经验分位数</w:t>
            </w:r>
          </w:p>
        </w:tc>
      </w:tr>
      <w:tr w:rsidR="00727F41" w14:paraId="76EC8286" w14:textId="77777777">
        <w:trPr>
          <w:cantSplit/>
          <w:jc w:val="center"/>
        </w:trPr>
        <w:tc>
          <w:tcPr>
            <w:tcW w:w="2016" w:type="dxa"/>
            <w:shd w:val="clear" w:color="auto" w:fill="F8FAFC"/>
            <w:tcMar>
              <w:top w:w="90" w:type="dxa"/>
              <w:left w:w="90" w:type="dxa"/>
              <w:bottom w:w="90" w:type="dxa"/>
              <w:right w:w="90" w:type="dxa"/>
            </w:tcMar>
            <w:vAlign w:val="center"/>
          </w:tcPr>
          <w:p w14:paraId="1D9FF96F" w14:textId="77777777" w:rsidR="00727F41" w:rsidRDefault="00485E89">
            <w:pPr>
              <w:keepNext/>
              <w:spacing w:before="20" w:after="20" w:line="240" w:lineRule="auto"/>
              <w:ind w:firstLine="0"/>
              <w:jc w:val="center"/>
            </w:pPr>
            <w:r>
              <w:rPr>
                <w:sz w:val="20"/>
              </w:rPr>
              <w:t>已知最终测试</w:t>
            </w:r>
          </w:p>
        </w:tc>
        <w:tc>
          <w:tcPr>
            <w:tcW w:w="3888" w:type="dxa"/>
            <w:shd w:val="clear" w:color="auto" w:fill="F8FAFC"/>
            <w:tcMar>
              <w:top w:w="90" w:type="dxa"/>
              <w:left w:w="90" w:type="dxa"/>
              <w:bottom w:w="90" w:type="dxa"/>
              <w:right w:w="90" w:type="dxa"/>
            </w:tcMar>
            <w:vAlign w:val="center"/>
          </w:tcPr>
          <w:p w14:paraId="1D30DA16" w14:textId="77777777" w:rsidR="00727F41" w:rsidRDefault="00485E89">
            <w:pPr>
              <w:keepNext/>
              <w:spacing w:before="20" w:after="20" w:line="240" w:lineRule="auto"/>
              <w:ind w:firstLine="0"/>
            </w:pPr>
            <w:r>
              <w:rPr>
                <w:sz w:val="20"/>
              </w:rPr>
              <w:t>36</w:t>
            </w:r>
          </w:p>
        </w:tc>
        <w:tc>
          <w:tcPr>
            <w:tcW w:w="3888" w:type="dxa"/>
            <w:shd w:val="clear" w:color="auto" w:fill="F8FAFC"/>
            <w:tcMar>
              <w:top w:w="90" w:type="dxa"/>
              <w:left w:w="90" w:type="dxa"/>
              <w:bottom w:w="90" w:type="dxa"/>
              <w:right w:w="90" w:type="dxa"/>
            </w:tcMar>
            <w:vAlign w:val="center"/>
          </w:tcPr>
          <w:p w14:paraId="762B51C2" w14:textId="77777777" w:rsidR="00727F41" w:rsidRDefault="00485E89">
            <w:pPr>
              <w:keepNext/>
              <w:spacing w:before="20" w:after="20" w:line="240" w:lineRule="auto"/>
              <w:ind w:firstLine="0"/>
            </w:pPr>
            <w:r>
              <w:rPr>
                <w:sz w:val="20"/>
              </w:rPr>
              <w:t>分类</w:t>
            </w:r>
            <w:r>
              <w:rPr>
                <w:sz w:val="20"/>
              </w:rPr>
              <w:t xml:space="preserve"> </w:t>
            </w:r>
            <w:r>
              <w:rPr>
                <w:sz w:val="20"/>
              </w:rPr>
              <w:t>概率及已知拒识评价</w:t>
            </w:r>
          </w:p>
        </w:tc>
      </w:tr>
      <w:tr w:rsidR="00727F41" w14:paraId="68FA3FDE" w14:textId="77777777">
        <w:trPr>
          <w:cantSplit/>
          <w:jc w:val="center"/>
        </w:trPr>
        <w:tc>
          <w:tcPr>
            <w:tcW w:w="2016" w:type="dxa"/>
            <w:shd w:val="clear" w:color="auto" w:fill="FFFFFF"/>
            <w:tcMar>
              <w:top w:w="90" w:type="dxa"/>
              <w:left w:w="90" w:type="dxa"/>
              <w:bottom w:w="90" w:type="dxa"/>
              <w:right w:w="90" w:type="dxa"/>
            </w:tcMar>
            <w:vAlign w:val="center"/>
          </w:tcPr>
          <w:p w14:paraId="6A58430B" w14:textId="77777777" w:rsidR="00727F41" w:rsidRDefault="00485E89">
            <w:pPr>
              <w:keepNext/>
              <w:spacing w:before="20" w:after="20" w:line="240" w:lineRule="auto"/>
              <w:ind w:firstLine="0"/>
              <w:jc w:val="center"/>
            </w:pPr>
            <w:r>
              <w:rPr>
                <w:sz w:val="20"/>
              </w:rPr>
              <w:t>留出未知材料</w:t>
            </w:r>
          </w:p>
        </w:tc>
        <w:tc>
          <w:tcPr>
            <w:tcW w:w="3888" w:type="dxa"/>
            <w:shd w:val="clear" w:color="auto" w:fill="FFFFFF"/>
            <w:tcMar>
              <w:top w:w="90" w:type="dxa"/>
              <w:left w:w="90" w:type="dxa"/>
              <w:bottom w:w="90" w:type="dxa"/>
              <w:right w:w="90" w:type="dxa"/>
            </w:tcMar>
            <w:vAlign w:val="center"/>
          </w:tcPr>
          <w:p w14:paraId="5710DA48" w14:textId="77777777" w:rsidR="00727F41" w:rsidRDefault="00485E89">
            <w:pPr>
              <w:keepNext/>
              <w:spacing w:before="20" w:after="20" w:line="240" w:lineRule="auto"/>
              <w:ind w:firstLine="0"/>
            </w:pPr>
            <w:r>
              <w:rPr>
                <w:sz w:val="20"/>
              </w:rPr>
              <w:t>100</w:t>
            </w:r>
          </w:p>
        </w:tc>
        <w:tc>
          <w:tcPr>
            <w:tcW w:w="3888" w:type="dxa"/>
            <w:shd w:val="clear" w:color="auto" w:fill="FFFFFF"/>
            <w:tcMar>
              <w:top w:w="90" w:type="dxa"/>
              <w:left w:w="90" w:type="dxa"/>
              <w:bottom w:w="90" w:type="dxa"/>
              <w:right w:w="90" w:type="dxa"/>
            </w:tcMar>
            <w:vAlign w:val="center"/>
          </w:tcPr>
          <w:p w14:paraId="3C92DB77" w14:textId="77777777" w:rsidR="00727F41" w:rsidRDefault="00485E89">
            <w:pPr>
              <w:keepNext/>
              <w:spacing w:before="20" w:after="20" w:line="240" w:lineRule="auto"/>
              <w:ind w:firstLine="0"/>
            </w:pPr>
            <w:r>
              <w:rPr>
                <w:sz w:val="20"/>
              </w:rPr>
              <w:t>仅评价未知材料接受情况</w:t>
            </w:r>
          </w:p>
        </w:tc>
      </w:tr>
    </w:tbl>
    <w:p w14:paraId="6371071B" w14:textId="77777777" w:rsidR="00727F41" w:rsidRDefault="00727F41">
      <w:pPr>
        <w:spacing w:after="0"/>
      </w:pPr>
    </w:p>
    <w:p w14:paraId="022A8063" w14:textId="77777777" w:rsidR="00727F41" w:rsidRDefault="00485E89">
      <w:pPr>
        <w:jc w:val="both"/>
      </w:pPr>
      <w:r>
        <w:t>训练内部四折分层交叉验证比较</w:t>
      </w:r>
      <w:r>
        <w:t>PCA</w:t>
      </w:r>
      <w:r>
        <w:t>维数</w:t>
      </w:r>
      <w:r>
        <w:t>5</w:t>
      </w:r>
      <w:r>
        <w:t>、</w:t>
      </w:r>
      <w:r>
        <w:t>10</w:t>
      </w:r>
      <w:r>
        <w:t>、</w:t>
      </w:r>
      <w:r>
        <w:t>20</w:t>
      </w:r>
      <w:r>
        <w:t>及逻辑回归</w:t>
      </w:r>
      <w:r>
        <w:t>C=0.1</w:t>
      </w:r>
      <w:r>
        <w:t>、</w:t>
      </w:r>
      <w:r>
        <w:t>1</w:t>
      </w:r>
      <w:r>
        <w:t>、</w:t>
      </w:r>
      <w:r>
        <w:t>10</w:t>
      </w:r>
      <w:r>
        <w:t>，每折重新拟合</w:t>
      </w:r>
      <w:r>
        <w:t>PCA</w:t>
      </w:r>
      <w:r>
        <w:t>，以平均</w:t>
      </w:r>
      <w:r>
        <w:t>NLL</w:t>
      </w:r>
      <w:r>
        <w:t>选出</w:t>
      </w:r>
      <w:r>
        <w:t>10</w:t>
      </w:r>
      <w:r>
        <w:t>个主成分和</w:t>
      </w:r>
      <w:r>
        <w:t>C=0.1</w:t>
      </w:r>
      <w:r>
        <w:t>。最终模型只在</w:t>
      </w:r>
      <w:r>
        <w:t>90</w:t>
      </w:r>
      <w:r>
        <w:t>个训练编号上拟合；专用校准集拟合共同正温度</w:t>
      </w:r>
      <w:r>
        <w:t>T=1.451</w:t>
      </w:r>
      <w:r>
        <w:t>，优化范围为</w:t>
      </w:r>
      <w:r>
        <w:t>log(T)∈[−4,4]</w:t>
      </w:r>
      <w:r>
        <w:t>。全体样品校准前后</w:t>
      </w:r>
      <w:r>
        <w:t>argmax</w:t>
      </w:r>
      <w:r>
        <w:t>一致。</w:t>
      </w:r>
    </w:p>
    <w:p w14:paraId="338C06D2" w14:textId="77777777" w:rsidR="00727F41" w:rsidRDefault="00485E89">
      <w:pPr>
        <w:jc w:val="both"/>
      </w:pPr>
      <w:r>
        <w:t>主适用域评分取两个归一化分数的较大值：</w:t>
      </w:r>
      <w:r>
        <w:t>T²</w:t>
      </w:r>
      <w:r>
        <w:t>除以训练</w:t>
      </w:r>
      <w:r>
        <w:t>T²</w:t>
      </w:r>
      <w:r>
        <w:t>的</w:t>
      </w:r>
      <w:r>
        <w:t>95%</w:t>
      </w:r>
      <w:r>
        <w:t>经验分位数，</w:t>
      </w:r>
      <w:r>
        <w:t>Q</w:t>
      </w:r>
      <w:r>
        <w:t>除以训练</w:t>
      </w:r>
      <w:r>
        <w:t>Q</w:t>
      </w:r>
      <w:r>
        <w:t>的</w:t>
      </w:r>
      <w:r>
        <w:t>95%</w:t>
      </w:r>
      <w:r>
        <w:t>经验分位数。拒识阈值在</w:t>
      </w:r>
      <w:r>
        <w:t>24</w:t>
      </w:r>
      <w:r>
        <w:t>个阈值验证编号上按</w:t>
      </w:r>
      <w:r>
        <w:t>90%</w:t>
      </w:r>
      <w:r>
        <w:t>经验分位数的</w:t>
      </w:r>
      <w:r>
        <w:t>higher</w:t>
      </w:r>
      <w:r>
        <w:t>约定固定为</w:t>
      </w:r>
      <w:r>
        <w:t>1.441</w:t>
      </w:r>
      <w:r>
        <w:t>，超过阈值拒识。该经验设置只表达预设操作点，不提供</w:t>
      </w:r>
      <w:r>
        <w:t>90%</w:t>
      </w:r>
      <w:r>
        <w:t>未知检出保证。附加基线采用</w:t>
      </w:r>
      <w:r>
        <w:t>1−</w:t>
      </w:r>
      <w:r>
        <w:t>最大校准概率评分，并在同一专用阈值集确定阈值。</w:t>
      </w:r>
    </w:p>
    <w:p w14:paraId="1DEE6A41" w14:textId="77777777" w:rsidR="00727F41" w:rsidRDefault="00485E89">
      <w:pPr>
        <w:pStyle w:val="21"/>
      </w:pPr>
      <w:bookmarkStart w:id="32" w:name="_Toc244165164"/>
      <w:r>
        <w:t xml:space="preserve">7.3 </w:t>
      </w:r>
      <w:r>
        <w:t>分类与拒识结果</w:t>
      </w:r>
      <w:bookmarkEnd w:id="32"/>
    </w:p>
    <w:p w14:paraId="5E6F006D" w14:textId="77777777" w:rsidR="00727F41" w:rsidRDefault="00485E89">
      <w:pPr>
        <w:jc w:val="both"/>
      </w:pPr>
      <w:r>
        <w:t>已知测试</w:t>
      </w:r>
      <w:r>
        <w:t>36</w:t>
      </w:r>
      <w:r>
        <w:t>个编号中</w:t>
      </w:r>
      <w:r>
        <w:t>22</w:t>
      </w:r>
      <w:r>
        <w:t>个分类正确，准确率</w:t>
      </w:r>
      <w:r>
        <w:t>61.1%</w:t>
      </w:r>
      <w:r>
        <w:t>，</w:t>
      </w:r>
      <w:r>
        <w:t>Wilson 95%</w:t>
      </w:r>
      <w:r>
        <w:t>区间</w:t>
      </w:r>
      <w:r>
        <w:t>44.9%–75.2%</w:t>
      </w:r>
      <w:r>
        <w:t>，宏</w:t>
      </w:r>
      <w:r>
        <w:t>F1</w:t>
      </w:r>
      <w:r>
        <w:t>为</w:t>
      </w:r>
      <w:r>
        <w:t>0.592</w:t>
      </w:r>
      <w:r>
        <w:t>。表</w:t>
      </w:r>
      <w:r>
        <w:t>4</w:t>
      </w:r>
      <w:r>
        <w:t>在同一测试集比较概率指标。校准后</w:t>
      </w:r>
      <w:r>
        <w:t>NLL</w:t>
      </w:r>
      <w:r>
        <w:t>、</w:t>
      </w:r>
      <w:r>
        <w:t>Brier</w:t>
      </w:r>
      <w:r>
        <w:t>和</w:t>
      </w:r>
      <w:r>
        <w:t>5</w:t>
      </w:r>
      <w:r>
        <w:t>等宽箱</w:t>
      </w:r>
      <w:r>
        <w:t>ECE</w:t>
      </w:r>
      <w:r>
        <w:t>均较低，准确率保持不变。配对自助法</w:t>
      </w:r>
      <w:r>
        <w:t>2000</w:t>
      </w:r>
      <w:r>
        <w:t>次得到</w:t>
      </w:r>
      <w:r>
        <w:t>NLL</w:t>
      </w:r>
      <w:r>
        <w:t>差（校准后减校准前）</w:t>
      </w:r>
      <w:r>
        <w:t>−0.272</w:t>
      </w:r>
      <w:r>
        <w:t>，</w:t>
      </w:r>
      <w:r>
        <w:t>95%</w:t>
      </w:r>
      <w:r>
        <w:t>百分位区间</w:t>
      </w:r>
      <w:r>
        <w:t>[−0.636,−0.004]</w:t>
      </w:r>
      <w:r>
        <w:t>；该区间仅描述本次有限测试编号的重采样波动，不包括划分、仪器和标签不确定度。</w:t>
      </w:r>
    </w:p>
    <w:p w14:paraId="63703401" w14:textId="77777777" w:rsidR="00727F41" w:rsidRDefault="00485E89">
      <w:pPr>
        <w:pStyle w:val="af7"/>
        <w:keepNext/>
      </w:pPr>
      <w:r>
        <w:t>表</w:t>
      </w:r>
      <w:r>
        <w:t xml:space="preserve">4 </w:t>
      </w:r>
      <w:r>
        <w:t>已知最终测试的概率评价</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3888"/>
        <w:gridCol w:w="3888"/>
      </w:tblGrid>
      <w:tr w:rsidR="00727F41" w14:paraId="2C546AA5" w14:textId="77777777">
        <w:trPr>
          <w:cantSplit/>
          <w:tblHeader/>
          <w:jc w:val="center"/>
        </w:trPr>
        <w:tc>
          <w:tcPr>
            <w:tcW w:w="2016" w:type="dxa"/>
            <w:shd w:val="clear" w:color="auto" w:fill="E9EFF3"/>
            <w:tcMar>
              <w:top w:w="90" w:type="dxa"/>
              <w:left w:w="90" w:type="dxa"/>
              <w:bottom w:w="90" w:type="dxa"/>
              <w:right w:w="90" w:type="dxa"/>
            </w:tcMar>
            <w:vAlign w:val="center"/>
          </w:tcPr>
          <w:p w14:paraId="62880578" w14:textId="77777777" w:rsidR="00727F41" w:rsidRDefault="00485E89">
            <w:pPr>
              <w:keepNext/>
              <w:spacing w:before="60" w:after="60" w:line="278" w:lineRule="auto"/>
              <w:ind w:firstLine="0"/>
              <w:jc w:val="center"/>
            </w:pPr>
            <w:r>
              <w:rPr>
                <w:b/>
                <w:sz w:val="20"/>
              </w:rPr>
              <w:t>指标</w:t>
            </w:r>
          </w:p>
        </w:tc>
        <w:tc>
          <w:tcPr>
            <w:tcW w:w="3888" w:type="dxa"/>
            <w:shd w:val="clear" w:color="auto" w:fill="E9EFF3"/>
            <w:tcMar>
              <w:top w:w="90" w:type="dxa"/>
              <w:left w:w="90" w:type="dxa"/>
              <w:bottom w:w="90" w:type="dxa"/>
              <w:right w:w="90" w:type="dxa"/>
            </w:tcMar>
            <w:vAlign w:val="center"/>
          </w:tcPr>
          <w:p w14:paraId="1746B725" w14:textId="77777777" w:rsidR="00727F41" w:rsidRDefault="00485E89">
            <w:pPr>
              <w:keepNext/>
              <w:spacing w:before="60" w:after="60" w:line="278" w:lineRule="auto"/>
              <w:ind w:firstLine="0"/>
            </w:pPr>
            <w:r>
              <w:rPr>
                <w:b/>
                <w:sz w:val="20"/>
              </w:rPr>
              <w:t>校准前</w:t>
            </w:r>
          </w:p>
        </w:tc>
        <w:tc>
          <w:tcPr>
            <w:tcW w:w="3888" w:type="dxa"/>
            <w:shd w:val="clear" w:color="auto" w:fill="E9EFF3"/>
            <w:tcMar>
              <w:top w:w="90" w:type="dxa"/>
              <w:left w:w="90" w:type="dxa"/>
              <w:bottom w:w="90" w:type="dxa"/>
              <w:right w:w="90" w:type="dxa"/>
            </w:tcMar>
            <w:vAlign w:val="center"/>
          </w:tcPr>
          <w:p w14:paraId="0EECC529" w14:textId="77777777" w:rsidR="00727F41" w:rsidRDefault="00485E89">
            <w:pPr>
              <w:keepNext/>
              <w:spacing w:before="60" w:after="60" w:line="278" w:lineRule="auto"/>
              <w:ind w:firstLine="0"/>
            </w:pPr>
            <w:r>
              <w:rPr>
                <w:b/>
                <w:sz w:val="20"/>
              </w:rPr>
              <w:t>校准后</w:t>
            </w:r>
          </w:p>
        </w:tc>
      </w:tr>
      <w:tr w:rsidR="00727F41" w14:paraId="7BB1DB87" w14:textId="77777777">
        <w:trPr>
          <w:cantSplit/>
          <w:jc w:val="center"/>
        </w:trPr>
        <w:tc>
          <w:tcPr>
            <w:tcW w:w="2016" w:type="dxa"/>
            <w:shd w:val="clear" w:color="auto" w:fill="FFFFFF"/>
            <w:tcMar>
              <w:top w:w="90" w:type="dxa"/>
              <w:left w:w="90" w:type="dxa"/>
              <w:bottom w:w="90" w:type="dxa"/>
              <w:right w:w="90" w:type="dxa"/>
            </w:tcMar>
            <w:vAlign w:val="center"/>
          </w:tcPr>
          <w:p w14:paraId="3D8C10FC" w14:textId="77777777" w:rsidR="00727F41" w:rsidRDefault="00485E89">
            <w:pPr>
              <w:spacing w:before="60" w:after="60" w:line="278" w:lineRule="auto"/>
              <w:ind w:firstLine="0"/>
              <w:jc w:val="center"/>
            </w:pPr>
            <w:r>
              <w:rPr>
                <w:sz w:val="20"/>
              </w:rPr>
              <w:t>准确率</w:t>
            </w:r>
          </w:p>
        </w:tc>
        <w:tc>
          <w:tcPr>
            <w:tcW w:w="3888" w:type="dxa"/>
            <w:shd w:val="clear" w:color="auto" w:fill="FFFFFF"/>
            <w:tcMar>
              <w:top w:w="90" w:type="dxa"/>
              <w:left w:w="90" w:type="dxa"/>
              <w:bottom w:w="90" w:type="dxa"/>
              <w:right w:w="90" w:type="dxa"/>
            </w:tcMar>
            <w:vAlign w:val="center"/>
          </w:tcPr>
          <w:p w14:paraId="4174739B" w14:textId="77777777" w:rsidR="00727F41" w:rsidRDefault="00485E89">
            <w:pPr>
              <w:spacing w:before="60" w:after="60" w:line="278" w:lineRule="auto"/>
              <w:ind w:firstLine="0"/>
            </w:pPr>
            <w:r>
              <w:rPr>
                <w:sz w:val="20"/>
              </w:rPr>
              <w:t>22/36 61.1%</w:t>
            </w:r>
          </w:p>
        </w:tc>
        <w:tc>
          <w:tcPr>
            <w:tcW w:w="3888" w:type="dxa"/>
            <w:shd w:val="clear" w:color="auto" w:fill="FFFFFF"/>
            <w:tcMar>
              <w:top w:w="90" w:type="dxa"/>
              <w:left w:w="90" w:type="dxa"/>
              <w:bottom w:w="90" w:type="dxa"/>
              <w:right w:w="90" w:type="dxa"/>
            </w:tcMar>
            <w:vAlign w:val="center"/>
          </w:tcPr>
          <w:p w14:paraId="2B83D5E7" w14:textId="77777777" w:rsidR="00727F41" w:rsidRDefault="00485E89">
            <w:pPr>
              <w:spacing w:before="60" w:after="60" w:line="278" w:lineRule="auto"/>
              <w:ind w:firstLine="0"/>
            </w:pPr>
            <w:r>
              <w:rPr>
                <w:sz w:val="20"/>
              </w:rPr>
              <w:t>22/36 61.1%</w:t>
            </w:r>
          </w:p>
        </w:tc>
      </w:tr>
      <w:tr w:rsidR="00727F41" w14:paraId="3784BD7F" w14:textId="77777777">
        <w:trPr>
          <w:cantSplit/>
          <w:jc w:val="center"/>
        </w:trPr>
        <w:tc>
          <w:tcPr>
            <w:tcW w:w="2016" w:type="dxa"/>
            <w:shd w:val="clear" w:color="auto" w:fill="F8FAFC"/>
            <w:tcMar>
              <w:top w:w="90" w:type="dxa"/>
              <w:left w:w="90" w:type="dxa"/>
              <w:bottom w:w="90" w:type="dxa"/>
              <w:right w:w="90" w:type="dxa"/>
            </w:tcMar>
            <w:vAlign w:val="center"/>
          </w:tcPr>
          <w:p w14:paraId="713FB75C" w14:textId="77777777" w:rsidR="00727F41" w:rsidRDefault="00485E89">
            <w:pPr>
              <w:spacing w:before="60" w:after="60" w:line="278" w:lineRule="auto"/>
              <w:ind w:firstLine="0"/>
              <w:jc w:val="center"/>
            </w:pPr>
            <w:r>
              <w:rPr>
                <w:sz w:val="20"/>
              </w:rPr>
              <w:t>宏</w:t>
            </w:r>
            <w:r>
              <w:rPr>
                <w:sz w:val="20"/>
              </w:rPr>
              <w:t>F1</w:t>
            </w:r>
          </w:p>
        </w:tc>
        <w:tc>
          <w:tcPr>
            <w:tcW w:w="3888" w:type="dxa"/>
            <w:shd w:val="clear" w:color="auto" w:fill="F8FAFC"/>
            <w:tcMar>
              <w:top w:w="90" w:type="dxa"/>
              <w:left w:w="90" w:type="dxa"/>
              <w:bottom w:w="90" w:type="dxa"/>
              <w:right w:w="90" w:type="dxa"/>
            </w:tcMar>
            <w:vAlign w:val="center"/>
          </w:tcPr>
          <w:p w14:paraId="346A453A" w14:textId="77777777" w:rsidR="00727F41" w:rsidRDefault="00485E89">
            <w:pPr>
              <w:spacing w:before="60" w:after="60" w:line="278" w:lineRule="auto"/>
              <w:ind w:firstLine="0"/>
            </w:pPr>
            <w:r>
              <w:rPr>
                <w:sz w:val="20"/>
              </w:rPr>
              <w:t>0.592</w:t>
            </w:r>
          </w:p>
        </w:tc>
        <w:tc>
          <w:tcPr>
            <w:tcW w:w="3888" w:type="dxa"/>
            <w:shd w:val="clear" w:color="auto" w:fill="F8FAFC"/>
            <w:tcMar>
              <w:top w:w="90" w:type="dxa"/>
              <w:left w:w="90" w:type="dxa"/>
              <w:bottom w:w="90" w:type="dxa"/>
              <w:right w:w="90" w:type="dxa"/>
            </w:tcMar>
            <w:vAlign w:val="center"/>
          </w:tcPr>
          <w:p w14:paraId="6BEE7ED6" w14:textId="77777777" w:rsidR="00727F41" w:rsidRDefault="00485E89">
            <w:pPr>
              <w:spacing w:before="60" w:after="60" w:line="278" w:lineRule="auto"/>
              <w:ind w:firstLine="0"/>
            </w:pPr>
            <w:r>
              <w:rPr>
                <w:sz w:val="20"/>
              </w:rPr>
              <w:t>0.592</w:t>
            </w:r>
          </w:p>
        </w:tc>
      </w:tr>
      <w:tr w:rsidR="00727F41" w14:paraId="70C06028" w14:textId="77777777">
        <w:trPr>
          <w:cantSplit/>
          <w:jc w:val="center"/>
        </w:trPr>
        <w:tc>
          <w:tcPr>
            <w:tcW w:w="2016" w:type="dxa"/>
            <w:shd w:val="clear" w:color="auto" w:fill="FFFFFF"/>
            <w:tcMar>
              <w:top w:w="90" w:type="dxa"/>
              <w:left w:w="90" w:type="dxa"/>
              <w:bottom w:w="90" w:type="dxa"/>
              <w:right w:w="90" w:type="dxa"/>
            </w:tcMar>
            <w:vAlign w:val="center"/>
          </w:tcPr>
          <w:p w14:paraId="7A667E62" w14:textId="77777777" w:rsidR="00727F41" w:rsidRDefault="00485E89">
            <w:pPr>
              <w:spacing w:before="60" w:after="60" w:line="278" w:lineRule="auto"/>
              <w:ind w:firstLine="0"/>
              <w:jc w:val="center"/>
            </w:pPr>
            <w:r>
              <w:rPr>
                <w:sz w:val="20"/>
              </w:rPr>
              <w:t>NLL</w:t>
            </w:r>
          </w:p>
        </w:tc>
        <w:tc>
          <w:tcPr>
            <w:tcW w:w="3888" w:type="dxa"/>
            <w:shd w:val="clear" w:color="auto" w:fill="FFFFFF"/>
            <w:tcMar>
              <w:top w:w="90" w:type="dxa"/>
              <w:left w:w="90" w:type="dxa"/>
              <w:bottom w:w="90" w:type="dxa"/>
              <w:right w:w="90" w:type="dxa"/>
            </w:tcMar>
            <w:vAlign w:val="center"/>
          </w:tcPr>
          <w:p w14:paraId="490B8038" w14:textId="77777777" w:rsidR="00727F41" w:rsidRDefault="00485E89">
            <w:pPr>
              <w:spacing w:before="60" w:after="60" w:line="278" w:lineRule="auto"/>
              <w:ind w:firstLine="0"/>
            </w:pPr>
            <w:r>
              <w:rPr>
                <w:sz w:val="20"/>
              </w:rPr>
              <w:t>1.566</w:t>
            </w:r>
          </w:p>
        </w:tc>
        <w:tc>
          <w:tcPr>
            <w:tcW w:w="3888" w:type="dxa"/>
            <w:shd w:val="clear" w:color="auto" w:fill="FFFFFF"/>
            <w:tcMar>
              <w:top w:w="90" w:type="dxa"/>
              <w:left w:w="90" w:type="dxa"/>
              <w:bottom w:w="90" w:type="dxa"/>
              <w:right w:w="90" w:type="dxa"/>
            </w:tcMar>
            <w:vAlign w:val="center"/>
          </w:tcPr>
          <w:p w14:paraId="5942BFAE" w14:textId="77777777" w:rsidR="00727F41" w:rsidRDefault="00485E89">
            <w:pPr>
              <w:spacing w:before="60" w:after="60" w:line="278" w:lineRule="auto"/>
              <w:ind w:firstLine="0"/>
            </w:pPr>
            <w:r>
              <w:rPr>
                <w:sz w:val="20"/>
              </w:rPr>
              <w:t>1.295</w:t>
            </w:r>
          </w:p>
        </w:tc>
      </w:tr>
      <w:tr w:rsidR="00727F41" w14:paraId="4D062E89" w14:textId="77777777">
        <w:trPr>
          <w:cantSplit/>
          <w:jc w:val="center"/>
        </w:trPr>
        <w:tc>
          <w:tcPr>
            <w:tcW w:w="2016" w:type="dxa"/>
            <w:shd w:val="clear" w:color="auto" w:fill="F8FAFC"/>
            <w:tcMar>
              <w:top w:w="90" w:type="dxa"/>
              <w:left w:w="90" w:type="dxa"/>
              <w:bottom w:w="90" w:type="dxa"/>
              <w:right w:w="90" w:type="dxa"/>
            </w:tcMar>
            <w:vAlign w:val="center"/>
          </w:tcPr>
          <w:p w14:paraId="1F35D897" w14:textId="77777777" w:rsidR="00727F41" w:rsidRDefault="00485E89">
            <w:pPr>
              <w:spacing w:before="60" w:after="60" w:line="278" w:lineRule="auto"/>
              <w:ind w:firstLine="0"/>
              <w:jc w:val="center"/>
            </w:pPr>
            <w:r>
              <w:rPr>
                <w:sz w:val="20"/>
              </w:rPr>
              <w:t xml:space="preserve">Brier </w:t>
            </w:r>
            <w:r>
              <w:rPr>
                <w:sz w:val="20"/>
              </w:rPr>
              <w:t>不除类别数</w:t>
            </w:r>
          </w:p>
        </w:tc>
        <w:tc>
          <w:tcPr>
            <w:tcW w:w="3888" w:type="dxa"/>
            <w:shd w:val="clear" w:color="auto" w:fill="F8FAFC"/>
            <w:tcMar>
              <w:top w:w="90" w:type="dxa"/>
              <w:left w:w="90" w:type="dxa"/>
              <w:bottom w:w="90" w:type="dxa"/>
              <w:right w:w="90" w:type="dxa"/>
            </w:tcMar>
            <w:vAlign w:val="center"/>
          </w:tcPr>
          <w:p w14:paraId="6FC2EEA5" w14:textId="77777777" w:rsidR="00727F41" w:rsidRDefault="00485E89">
            <w:pPr>
              <w:spacing w:before="60" w:after="60" w:line="278" w:lineRule="auto"/>
              <w:ind w:firstLine="0"/>
            </w:pPr>
            <w:r>
              <w:rPr>
                <w:sz w:val="20"/>
              </w:rPr>
              <w:t>0.547</w:t>
            </w:r>
          </w:p>
        </w:tc>
        <w:tc>
          <w:tcPr>
            <w:tcW w:w="3888" w:type="dxa"/>
            <w:shd w:val="clear" w:color="auto" w:fill="F8FAFC"/>
            <w:tcMar>
              <w:top w:w="90" w:type="dxa"/>
              <w:left w:w="90" w:type="dxa"/>
              <w:bottom w:w="90" w:type="dxa"/>
              <w:right w:w="90" w:type="dxa"/>
            </w:tcMar>
            <w:vAlign w:val="center"/>
          </w:tcPr>
          <w:p w14:paraId="244A2F52" w14:textId="77777777" w:rsidR="00727F41" w:rsidRDefault="00485E89">
            <w:pPr>
              <w:spacing w:before="60" w:after="60" w:line="278" w:lineRule="auto"/>
              <w:ind w:firstLine="0"/>
            </w:pPr>
            <w:r>
              <w:rPr>
                <w:sz w:val="20"/>
              </w:rPr>
              <w:t>0.540</w:t>
            </w:r>
          </w:p>
        </w:tc>
      </w:tr>
      <w:tr w:rsidR="00727F41" w14:paraId="7326DEC0" w14:textId="77777777">
        <w:trPr>
          <w:cantSplit/>
          <w:jc w:val="center"/>
        </w:trPr>
        <w:tc>
          <w:tcPr>
            <w:tcW w:w="2016" w:type="dxa"/>
            <w:shd w:val="clear" w:color="auto" w:fill="FFFFFF"/>
            <w:tcMar>
              <w:top w:w="90" w:type="dxa"/>
              <w:left w:w="90" w:type="dxa"/>
              <w:bottom w:w="90" w:type="dxa"/>
              <w:right w:w="90" w:type="dxa"/>
            </w:tcMar>
            <w:vAlign w:val="center"/>
          </w:tcPr>
          <w:p w14:paraId="01341E22" w14:textId="77777777" w:rsidR="00727F41" w:rsidRDefault="00485E89">
            <w:pPr>
              <w:spacing w:before="60" w:after="60" w:line="278" w:lineRule="auto"/>
              <w:ind w:firstLine="0"/>
              <w:jc w:val="center"/>
            </w:pPr>
            <w:r>
              <w:rPr>
                <w:sz w:val="20"/>
              </w:rPr>
              <w:t>ECE 5</w:t>
            </w:r>
            <w:r>
              <w:rPr>
                <w:sz w:val="20"/>
              </w:rPr>
              <w:t>等宽箱</w:t>
            </w:r>
          </w:p>
        </w:tc>
        <w:tc>
          <w:tcPr>
            <w:tcW w:w="3888" w:type="dxa"/>
            <w:shd w:val="clear" w:color="auto" w:fill="FFFFFF"/>
            <w:tcMar>
              <w:top w:w="90" w:type="dxa"/>
              <w:left w:w="90" w:type="dxa"/>
              <w:bottom w:w="90" w:type="dxa"/>
              <w:right w:w="90" w:type="dxa"/>
            </w:tcMar>
            <w:vAlign w:val="center"/>
          </w:tcPr>
          <w:p w14:paraId="4774A218" w14:textId="77777777" w:rsidR="00727F41" w:rsidRDefault="00485E89">
            <w:pPr>
              <w:spacing w:before="60" w:after="60" w:line="278" w:lineRule="auto"/>
              <w:ind w:firstLine="0"/>
            </w:pPr>
            <w:r>
              <w:rPr>
                <w:sz w:val="20"/>
              </w:rPr>
              <w:t>0.129</w:t>
            </w:r>
          </w:p>
        </w:tc>
        <w:tc>
          <w:tcPr>
            <w:tcW w:w="3888" w:type="dxa"/>
            <w:shd w:val="clear" w:color="auto" w:fill="FFFFFF"/>
            <w:tcMar>
              <w:top w:w="90" w:type="dxa"/>
              <w:left w:w="90" w:type="dxa"/>
              <w:bottom w:w="90" w:type="dxa"/>
              <w:right w:w="90" w:type="dxa"/>
            </w:tcMar>
            <w:vAlign w:val="center"/>
          </w:tcPr>
          <w:p w14:paraId="607B3ED8" w14:textId="77777777" w:rsidR="00727F41" w:rsidRDefault="00485E89">
            <w:pPr>
              <w:spacing w:before="60" w:after="60" w:line="278" w:lineRule="auto"/>
              <w:ind w:firstLine="0"/>
            </w:pPr>
            <w:r>
              <w:rPr>
                <w:sz w:val="20"/>
              </w:rPr>
              <w:t>0.086</w:t>
            </w:r>
          </w:p>
        </w:tc>
      </w:tr>
    </w:tbl>
    <w:p w14:paraId="353C5660" w14:textId="77777777" w:rsidR="00727F41" w:rsidRDefault="00727F41">
      <w:pPr>
        <w:spacing w:after="0"/>
      </w:pPr>
    </w:p>
    <w:p w14:paraId="66CA66A2" w14:textId="77777777" w:rsidR="00727F41" w:rsidRDefault="00485E89">
      <w:pPr>
        <w:keepNext/>
        <w:ind w:firstLine="0"/>
        <w:jc w:val="center"/>
      </w:pPr>
      <w:r>
        <w:rPr>
          <w:noProof/>
        </w:rPr>
        <w:lastRenderedPageBreak/>
        <w:drawing>
          <wp:inline distT="0" distB="0" distL="0" distR="0" wp14:anchorId="767554FC" wp14:editId="0E4A2E47">
            <wp:extent cx="6172200" cy="2339485"/>
            <wp:effectExtent l="0" t="0" r="0" b="0"/>
            <wp:docPr id="4" name="Picture 4" descr="校准前后可靠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liability.png"/>
                    <pic:cNvPicPr/>
                  </pic:nvPicPr>
                  <pic:blipFill>
                    <a:blip r:embed="rId11"/>
                    <a:stretch>
                      <a:fillRect/>
                    </a:stretch>
                  </pic:blipFill>
                  <pic:spPr>
                    <a:xfrm>
                      <a:off x="0" y="0"/>
                      <a:ext cx="6172200" cy="2339485"/>
                    </a:xfrm>
                    <a:prstGeom prst="rect">
                      <a:avLst/>
                    </a:prstGeom>
                  </pic:spPr>
                </pic:pic>
              </a:graphicData>
            </a:graphic>
          </wp:inline>
        </w:drawing>
      </w:r>
    </w:p>
    <w:p w14:paraId="7DD032CF" w14:textId="77777777" w:rsidR="00727F41" w:rsidRDefault="00485E89">
      <w:pPr>
        <w:pStyle w:val="af7"/>
      </w:pPr>
      <w:r>
        <w:t>图</w:t>
      </w:r>
      <w:r>
        <w:t xml:space="preserve">4 </w:t>
      </w:r>
      <w:r>
        <w:t>已知测试集可靠性图。</w:t>
      </w:r>
      <w:r>
        <w:t>5</w:t>
      </w:r>
      <w:r>
        <w:t>个等宽箱中空箱不画点，标注非空箱编号数，误差条为箱内正确率</w:t>
      </w:r>
      <w:r>
        <w:t>Wilson 95%</w:t>
      </w:r>
      <w:r>
        <w:t>区间。每箱规模很小，图形与</w:t>
      </w:r>
      <w:r>
        <w:t>ECE</w:t>
      </w:r>
      <w:r>
        <w:t>应结合样本量解释。</w:t>
      </w:r>
    </w:p>
    <w:p w14:paraId="373A26DC" w14:textId="77777777" w:rsidR="00727F41" w:rsidRDefault="00485E89">
      <w:pPr>
        <w:jc w:val="both"/>
      </w:pPr>
      <w:r>
        <w:t>表</w:t>
      </w:r>
      <w:r>
        <w:t>5</w:t>
      </w:r>
      <w:r>
        <w:t>显示主</w:t>
      </w:r>
      <w:r>
        <w:t>T²/Q</w:t>
      </w:r>
      <w:r>
        <w:t>规则接受</w:t>
      </w:r>
      <w:r>
        <w:t>34/36</w:t>
      </w:r>
      <w:r>
        <w:t>个已知测试编号，其中</w:t>
      </w:r>
      <w:r>
        <w:t>13</w:t>
      </w:r>
      <w:r>
        <w:t>个错误，接受部分错误率</w:t>
      </w:r>
      <w:r>
        <w:t>38.2%</w:t>
      </w:r>
      <w:r>
        <w:t>；未拒识时错误率为</w:t>
      </w:r>
      <w:r>
        <w:t>14/36=38.9%</w:t>
      </w:r>
      <w:r>
        <w:t>，拒识带来的变化很有限。该规则还接受</w:t>
      </w:r>
      <w:r>
        <w:t>81/100</w:t>
      </w:r>
      <w:r>
        <w:t>个未知材料，未知接受率</w:t>
      </w:r>
      <w:r>
        <w:t>Wilson 95%</w:t>
      </w:r>
      <w:r>
        <w:t>区间</w:t>
      </w:r>
      <w:r>
        <w:t>72.2%–87.5%</w:t>
      </w:r>
      <w:r>
        <w:t>。尽管区分未知的</w:t>
      </w:r>
      <w:r>
        <w:t>AUROC</w:t>
      </w:r>
      <w:r>
        <w:t>为</w:t>
      </w:r>
      <w:r>
        <w:t>0.780</w:t>
      </w:r>
      <w:r>
        <w:t>，预设操作点仍漏过大量未知，说明排序指标与实际阈值效果应分别报告。最大概率基线接受</w:t>
      </w:r>
      <w:r>
        <w:t>95</w:t>
      </w:r>
      <w:r>
        <w:t>个未知，两个评分均未达到可依赖的未知拒识能力。</w:t>
      </w:r>
    </w:p>
    <w:p w14:paraId="4CF1A2E8" w14:textId="77777777" w:rsidR="00727F41" w:rsidRDefault="00485E89">
      <w:pPr>
        <w:pStyle w:val="af7"/>
        <w:keepNext/>
      </w:pPr>
      <w:r>
        <w:t>表</w:t>
      </w:r>
      <w:r>
        <w:t xml:space="preserve">5 </w:t>
      </w:r>
      <w:r>
        <w:t>预设阈值的拒识结果</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3888"/>
        <w:gridCol w:w="3888"/>
      </w:tblGrid>
      <w:tr w:rsidR="00727F41" w14:paraId="61256744" w14:textId="77777777">
        <w:trPr>
          <w:cantSplit/>
          <w:tblHeader/>
          <w:jc w:val="center"/>
        </w:trPr>
        <w:tc>
          <w:tcPr>
            <w:tcW w:w="2016" w:type="dxa"/>
            <w:shd w:val="clear" w:color="auto" w:fill="E9EFF3"/>
            <w:tcMar>
              <w:top w:w="90" w:type="dxa"/>
              <w:left w:w="90" w:type="dxa"/>
              <w:bottom w:w="90" w:type="dxa"/>
              <w:right w:w="90" w:type="dxa"/>
            </w:tcMar>
            <w:vAlign w:val="center"/>
          </w:tcPr>
          <w:p w14:paraId="6D038814" w14:textId="77777777" w:rsidR="00727F41" w:rsidRDefault="00485E89">
            <w:pPr>
              <w:keepNext/>
              <w:spacing w:before="60" w:after="60" w:line="278" w:lineRule="auto"/>
              <w:ind w:firstLine="0"/>
              <w:jc w:val="center"/>
            </w:pPr>
            <w:r>
              <w:rPr>
                <w:b/>
                <w:sz w:val="20"/>
              </w:rPr>
              <w:t>评价项</w:t>
            </w:r>
          </w:p>
        </w:tc>
        <w:tc>
          <w:tcPr>
            <w:tcW w:w="3888" w:type="dxa"/>
            <w:shd w:val="clear" w:color="auto" w:fill="E9EFF3"/>
            <w:tcMar>
              <w:top w:w="90" w:type="dxa"/>
              <w:left w:w="90" w:type="dxa"/>
              <w:bottom w:w="90" w:type="dxa"/>
              <w:right w:w="90" w:type="dxa"/>
            </w:tcMar>
            <w:vAlign w:val="center"/>
          </w:tcPr>
          <w:p w14:paraId="3B885363" w14:textId="77777777" w:rsidR="00727F41" w:rsidRDefault="00485E89">
            <w:pPr>
              <w:keepNext/>
              <w:spacing w:before="60" w:after="60" w:line="278" w:lineRule="auto"/>
              <w:ind w:firstLine="0"/>
            </w:pPr>
            <w:r>
              <w:rPr>
                <w:b/>
                <w:sz w:val="20"/>
              </w:rPr>
              <w:t>T²/Q</w:t>
            </w:r>
            <w:r>
              <w:rPr>
                <w:b/>
                <w:sz w:val="20"/>
              </w:rPr>
              <w:t>主规则</w:t>
            </w:r>
          </w:p>
        </w:tc>
        <w:tc>
          <w:tcPr>
            <w:tcW w:w="3888" w:type="dxa"/>
            <w:shd w:val="clear" w:color="auto" w:fill="E9EFF3"/>
            <w:tcMar>
              <w:top w:w="90" w:type="dxa"/>
              <w:left w:w="90" w:type="dxa"/>
              <w:bottom w:w="90" w:type="dxa"/>
              <w:right w:w="90" w:type="dxa"/>
            </w:tcMar>
            <w:vAlign w:val="center"/>
          </w:tcPr>
          <w:p w14:paraId="77F3DAFF" w14:textId="77777777" w:rsidR="00727F41" w:rsidRDefault="00485E89">
            <w:pPr>
              <w:keepNext/>
              <w:spacing w:before="60" w:after="60" w:line="278" w:lineRule="auto"/>
              <w:ind w:firstLine="0"/>
            </w:pPr>
            <w:r>
              <w:rPr>
                <w:b/>
                <w:sz w:val="20"/>
              </w:rPr>
              <w:t>最大概率参照</w:t>
            </w:r>
          </w:p>
        </w:tc>
      </w:tr>
      <w:tr w:rsidR="00727F41" w14:paraId="26DA1CA0" w14:textId="77777777">
        <w:trPr>
          <w:cantSplit/>
          <w:jc w:val="center"/>
        </w:trPr>
        <w:tc>
          <w:tcPr>
            <w:tcW w:w="2016" w:type="dxa"/>
            <w:shd w:val="clear" w:color="auto" w:fill="FFFFFF"/>
            <w:tcMar>
              <w:top w:w="90" w:type="dxa"/>
              <w:left w:w="90" w:type="dxa"/>
              <w:bottom w:w="90" w:type="dxa"/>
              <w:right w:w="90" w:type="dxa"/>
            </w:tcMar>
            <w:vAlign w:val="center"/>
          </w:tcPr>
          <w:p w14:paraId="72F774A4" w14:textId="77777777" w:rsidR="00727F41" w:rsidRDefault="00485E89">
            <w:pPr>
              <w:spacing w:before="60" w:after="60" w:line="278" w:lineRule="auto"/>
              <w:ind w:firstLine="0"/>
              <w:jc w:val="center"/>
            </w:pPr>
            <w:r>
              <w:rPr>
                <w:sz w:val="20"/>
              </w:rPr>
              <w:t>已知接受</w:t>
            </w:r>
          </w:p>
        </w:tc>
        <w:tc>
          <w:tcPr>
            <w:tcW w:w="3888" w:type="dxa"/>
            <w:shd w:val="clear" w:color="auto" w:fill="FFFFFF"/>
            <w:tcMar>
              <w:top w:w="90" w:type="dxa"/>
              <w:left w:w="90" w:type="dxa"/>
              <w:bottom w:w="90" w:type="dxa"/>
              <w:right w:w="90" w:type="dxa"/>
            </w:tcMar>
            <w:vAlign w:val="center"/>
          </w:tcPr>
          <w:p w14:paraId="1A42A8B9" w14:textId="77777777" w:rsidR="00727F41" w:rsidRDefault="00485E89">
            <w:pPr>
              <w:spacing w:before="60" w:after="60" w:line="278" w:lineRule="auto"/>
              <w:ind w:firstLine="0"/>
            </w:pPr>
            <w:r>
              <w:rPr>
                <w:sz w:val="20"/>
              </w:rPr>
              <w:t>34/36 94.4%</w:t>
            </w:r>
          </w:p>
        </w:tc>
        <w:tc>
          <w:tcPr>
            <w:tcW w:w="3888" w:type="dxa"/>
            <w:shd w:val="clear" w:color="auto" w:fill="FFFFFF"/>
            <w:tcMar>
              <w:top w:w="90" w:type="dxa"/>
              <w:left w:w="90" w:type="dxa"/>
              <w:bottom w:w="90" w:type="dxa"/>
              <w:right w:w="90" w:type="dxa"/>
            </w:tcMar>
            <w:vAlign w:val="center"/>
          </w:tcPr>
          <w:p w14:paraId="0A4F7F7A" w14:textId="77777777" w:rsidR="00727F41" w:rsidRDefault="00485E89">
            <w:pPr>
              <w:spacing w:before="60" w:after="60" w:line="278" w:lineRule="auto"/>
              <w:ind w:firstLine="0"/>
            </w:pPr>
            <w:r>
              <w:rPr>
                <w:sz w:val="20"/>
              </w:rPr>
              <w:t>34/36 94.4%</w:t>
            </w:r>
          </w:p>
        </w:tc>
      </w:tr>
      <w:tr w:rsidR="00727F41" w14:paraId="3A13218B" w14:textId="77777777">
        <w:trPr>
          <w:cantSplit/>
          <w:jc w:val="center"/>
        </w:trPr>
        <w:tc>
          <w:tcPr>
            <w:tcW w:w="2016" w:type="dxa"/>
            <w:shd w:val="clear" w:color="auto" w:fill="F8FAFC"/>
            <w:tcMar>
              <w:top w:w="90" w:type="dxa"/>
              <w:left w:w="90" w:type="dxa"/>
              <w:bottom w:w="90" w:type="dxa"/>
              <w:right w:w="90" w:type="dxa"/>
            </w:tcMar>
            <w:vAlign w:val="center"/>
          </w:tcPr>
          <w:p w14:paraId="1888ED89" w14:textId="77777777" w:rsidR="00727F41" w:rsidRDefault="00485E89">
            <w:pPr>
              <w:spacing w:before="60" w:after="60" w:line="278" w:lineRule="auto"/>
              <w:ind w:firstLine="0"/>
              <w:jc w:val="center"/>
            </w:pPr>
            <w:r>
              <w:rPr>
                <w:sz w:val="20"/>
              </w:rPr>
              <w:t>接受已知中的错误</w:t>
            </w:r>
          </w:p>
        </w:tc>
        <w:tc>
          <w:tcPr>
            <w:tcW w:w="3888" w:type="dxa"/>
            <w:shd w:val="clear" w:color="auto" w:fill="F8FAFC"/>
            <w:tcMar>
              <w:top w:w="90" w:type="dxa"/>
              <w:left w:w="90" w:type="dxa"/>
              <w:bottom w:w="90" w:type="dxa"/>
              <w:right w:w="90" w:type="dxa"/>
            </w:tcMar>
            <w:vAlign w:val="center"/>
          </w:tcPr>
          <w:p w14:paraId="580D5837" w14:textId="77777777" w:rsidR="00727F41" w:rsidRDefault="00485E89">
            <w:pPr>
              <w:spacing w:before="60" w:after="60" w:line="278" w:lineRule="auto"/>
              <w:ind w:firstLine="0"/>
            </w:pPr>
            <w:r>
              <w:rPr>
                <w:sz w:val="20"/>
              </w:rPr>
              <w:t>13/34 38.2%</w:t>
            </w:r>
          </w:p>
        </w:tc>
        <w:tc>
          <w:tcPr>
            <w:tcW w:w="3888" w:type="dxa"/>
            <w:shd w:val="clear" w:color="auto" w:fill="F8FAFC"/>
            <w:tcMar>
              <w:top w:w="90" w:type="dxa"/>
              <w:left w:w="90" w:type="dxa"/>
              <w:bottom w:w="90" w:type="dxa"/>
              <w:right w:w="90" w:type="dxa"/>
            </w:tcMar>
            <w:vAlign w:val="center"/>
          </w:tcPr>
          <w:p w14:paraId="12FE1FB5" w14:textId="77777777" w:rsidR="00727F41" w:rsidRDefault="00485E89">
            <w:pPr>
              <w:spacing w:before="60" w:after="60" w:line="278" w:lineRule="auto"/>
              <w:ind w:firstLine="0"/>
            </w:pPr>
            <w:r>
              <w:rPr>
                <w:sz w:val="20"/>
              </w:rPr>
              <w:t>13/34 38.2%</w:t>
            </w:r>
          </w:p>
        </w:tc>
      </w:tr>
      <w:tr w:rsidR="00727F41" w14:paraId="0D9A3A96" w14:textId="77777777">
        <w:trPr>
          <w:cantSplit/>
          <w:jc w:val="center"/>
        </w:trPr>
        <w:tc>
          <w:tcPr>
            <w:tcW w:w="2016" w:type="dxa"/>
            <w:shd w:val="clear" w:color="auto" w:fill="FFFFFF"/>
            <w:tcMar>
              <w:top w:w="90" w:type="dxa"/>
              <w:left w:w="90" w:type="dxa"/>
              <w:bottom w:w="90" w:type="dxa"/>
              <w:right w:w="90" w:type="dxa"/>
            </w:tcMar>
            <w:vAlign w:val="center"/>
          </w:tcPr>
          <w:p w14:paraId="0AFAB395" w14:textId="77777777" w:rsidR="00727F41" w:rsidRDefault="00485E89">
            <w:pPr>
              <w:spacing w:before="60" w:after="60" w:line="278" w:lineRule="auto"/>
              <w:ind w:firstLine="0"/>
              <w:jc w:val="center"/>
            </w:pPr>
            <w:r>
              <w:rPr>
                <w:sz w:val="20"/>
              </w:rPr>
              <w:t>未知接受</w:t>
            </w:r>
          </w:p>
        </w:tc>
        <w:tc>
          <w:tcPr>
            <w:tcW w:w="3888" w:type="dxa"/>
            <w:shd w:val="clear" w:color="auto" w:fill="FFFFFF"/>
            <w:tcMar>
              <w:top w:w="90" w:type="dxa"/>
              <w:left w:w="90" w:type="dxa"/>
              <w:bottom w:w="90" w:type="dxa"/>
              <w:right w:w="90" w:type="dxa"/>
            </w:tcMar>
            <w:vAlign w:val="center"/>
          </w:tcPr>
          <w:p w14:paraId="4EC805B0" w14:textId="77777777" w:rsidR="00727F41" w:rsidRDefault="00485E89">
            <w:pPr>
              <w:spacing w:before="60" w:after="60" w:line="278" w:lineRule="auto"/>
              <w:ind w:firstLine="0"/>
            </w:pPr>
            <w:r>
              <w:rPr>
                <w:sz w:val="20"/>
              </w:rPr>
              <w:t>81/100 81.0%</w:t>
            </w:r>
          </w:p>
        </w:tc>
        <w:tc>
          <w:tcPr>
            <w:tcW w:w="3888" w:type="dxa"/>
            <w:shd w:val="clear" w:color="auto" w:fill="FFFFFF"/>
            <w:tcMar>
              <w:top w:w="90" w:type="dxa"/>
              <w:left w:w="90" w:type="dxa"/>
              <w:bottom w:w="90" w:type="dxa"/>
              <w:right w:w="90" w:type="dxa"/>
            </w:tcMar>
            <w:vAlign w:val="center"/>
          </w:tcPr>
          <w:p w14:paraId="6A8F115E" w14:textId="77777777" w:rsidR="00727F41" w:rsidRDefault="00485E89">
            <w:pPr>
              <w:spacing w:before="60" w:after="60" w:line="278" w:lineRule="auto"/>
              <w:ind w:firstLine="0"/>
            </w:pPr>
            <w:r>
              <w:rPr>
                <w:sz w:val="20"/>
              </w:rPr>
              <w:t>95/100 95.0%</w:t>
            </w:r>
          </w:p>
        </w:tc>
      </w:tr>
      <w:tr w:rsidR="00727F41" w14:paraId="4D1C1300" w14:textId="77777777">
        <w:trPr>
          <w:cantSplit/>
          <w:jc w:val="center"/>
        </w:trPr>
        <w:tc>
          <w:tcPr>
            <w:tcW w:w="2016" w:type="dxa"/>
            <w:shd w:val="clear" w:color="auto" w:fill="F8FAFC"/>
            <w:tcMar>
              <w:top w:w="90" w:type="dxa"/>
              <w:left w:w="90" w:type="dxa"/>
              <w:bottom w:w="90" w:type="dxa"/>
              <w:right w:w="90" w:type="dxa"/>
            </w:tcMar>
            <w:vAlign w:val="center"/>
          </w:tcPr>
          <w:p w14:paraId="70C6547F" w14:textId="77777777" w:rsidR="00727F41" w:rsidRDefault="00485E89">
            <w:pPr>
              <w:spacing w:before="60" w:after="60" w:line="278" w:lineRule="auto"/>
              <w:ind w:firstLine="0"/>
              <w:jc w:val="center"/>
            </w:pPr>
            <w:r>
              <w:rPr>
                <w:sz w:val="20"/>
              </w:rPr>
              <w:t>未知为正类</w:t>
            </w:r>
            <w:r>
              <w:rPr>
                <w:sz w:val="20"/>
              </w:rPr>
              <w:t>AUROC</w:t>
            </w:r>
          </w:p>
        </w:tc>
        <w:tc>
          <w:tcPr>
            <w:tcW w:w="3888" w:type="dxa"/>
            <w:shd w:val="clear" w:color="auto" w:fill="F8FAFC"/>
            <w:tcMar>
              <w:top w:w="90" w:type="dxa"/>
              <w:left w:w="90" w:type="dxa"/>
              <w:bottom w:w="90" w:type="dxa"/>
              <w:right w:w="90" w:type="dxa"/>
            </w:tcMar>
            <w:vAlign w:val="center"/>
          </w:tcPr>
          <w:p w14:paraId="03A47B56" w14:textId="77777777" w:rsidR="00727F41" w:rsidRDefault="00485E89">
            <w:pPr>
              <w:spacing w:before="60" w:after="60" w:line="278" w:lineRule="auto"/>
              <w:ind w:firstLine="0"/>
            </w:pPr>
            <w:r>
              <w:rPr>
                <w:sz w:val="20"/>
              </w:rPr>
              <w:t>0.780</w:t>
            </w:r>
          </w:p>
        </w:tc>
        <w:tc>
          <w:tcPr>
            <w:tcW w:w="3888" w:type="dxa"/>
            <w:shd w:val="clear" w:color="auto" w:fill="F8FAFC"/>
            <w:tcMar>
              <w:top w:w="90" w:type="dxa"/>
              <w:left w:w="90" w:type="dxa"/>
              <w:bottom w:w="90" w:type="dxa"/>
              <w:right w:w="90" w:type="dxa"/>
            </w:tcMar>
            <w:vAlign w:val="center"/>
          </w:tcPr>
          <w:p w14:paraId="581C34A2" w14:textId="77777777" w:rsidR="00727F41" w:rsidRDefault="00485E89">
            <w:pPr>
              <w:spacing w:before="60" w:after="60" w:line="278" w:lineRule="auto"/>
              <w:ind w:firstLine="0"/>
            </w:pPr>
            <w:r>
              <w:rPr>
                <w:sz w:val="20"/>
              </w:rPr>
              <w:t>0.506</w:t>
            </w:r>
          </w:p>
        </w:tc>
      </w:tr>
    </w:tbl>
    <w:p w14:paraId="4911D345" w14:textId="77777777" w:rsidR="00727F41" w:rsidRDefault="00727F41">
      <w:pPr>
        <w:spacing w:after="0"/>
      </w:pPr>
    </w:p>
    <w:p w14:paraId="4BE2E9F6" w14:textId="77777777" w:rsidR="00727F41" w:rsidRDefault="00485E89">
      <w:pPr>
        <w:keepNext/>
        <w:ind w:firstLine="0"/>
        <w:jc w:val="center"/>
      </w:pPr>
      <w:r>
        <w:rPr>
          <w:noProof/>
        </w:rPr>
        <w:lastRenderedPageBreak/>
        <w:drawing>
          <wp:inline distT="0" distB="0" distL="0" distR="0" wp14:anchorId="4EDE1A02" wp14:editId="39988BC1">
            <wp:extent cx="6172200" cy="2356270"/>
            <wp:effectExtent l="0" t="0" r="0" b="0"/>
            <wp:docPr id="5" name="Picture 5" descr="适用域分数与风险接受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omain_risk.png"/>
                    <pic:cNvPicPr/>
                  </pic:nvPicPr>
                  <pic:blipFill>
                    <a:blip r:embed="rId12"/>
                    <a:stretch>
                      <a:fillRect/>
                    </a:stretch>
                  </pic:blipFill>
                  <pic:spPr>
                    <a:xfrm>
                      <a:off x="0" y="0"/>
                      <a:ext cx="6172200" cy="2356270"/>
                    </a:xfrm>
                    <a:prstGeom prst="rect">
                      <a:avLst/>
                    </a:prstGeom>
                  </pic:spPr>
                </pic:pic>
              </a:graphicData>
            </a:graphic>
          </wp:inline>
        </w:drawing>
      </w:r>
    </w:p>
    <w:p w14:paraId="5B3671C9" w14:textId="77777777" w:rsidR="00727F41" w:rsidRDefault="00485E89">
      <w:pPr>
        <w:pStyle w:val="af7"/>
      </w:pPr>
      <w:r>
        <w:t>图</w:t>
      </w:r>
      <w:r>
        <w:t xml:space="preserve">5 </w:t>
      </w:r>
      <w:r>
        <w:t>适用域评分及风险</w:t>
      </w:r>
      <w:r>
        <w:t>—</w:t>
      </w:r>
      <w:r>
        <w:t>接受率曲线。虚线阈值仅来自已知阈值验证集。混合曲线使用</w:t>
      </w:r>
      <w:r>
        <w:t>36</w:t>
      </w:r>
      <w:r>
        <w:t>个已知和</w:t>
      </w:r>
      <w:r>
        <w:t>100</w:t>
      </w:r>
      <w:r>
        <w:t>个未知的人工组成，将未知被迫赋为已知类别计作错误；它不代表实际部署中的未知比例或总体风险。</w:t>
      </w:r>
    </w:p>
    <w:p w14:paraId="52B809AE" w14:textId="77777777" w:rsidR="00727F41" w:rsidRDefault="00485E89">
      <w:pPr>
        <w:jc w:val="both"/>
      </w:pPr>
      <w:r>
        <w:t>五个预设种子的同池划分敏感性检查中，准确率范围</w:t>
      </w:r>
      <w:r>
        <w:t>61.1%–77.8%</w:t>
      </w:r>
      <w:r>
        <w:t>，未知接受率</w:t>
      </w:r>
      <w:r>
        <w:t>52.0%–85.0%</w:t>
      </w:r>
      <w:r>
        <w:t>；两次划分的校准后</w:t>
      </w:r>
      <w:r>
        <w:t>NLL</w:t>
      </w:r>
      <w:r>
        <w:t>反而增大。全部种子结果随代码保存，未用最好一轮替换主结果。这些重复共享数据池，并非五次独立采集实验，也不应据此计算跨实验室稳定性。</w:t>
      </w:r>
    </w:p>
    <w:p w14:paraId="795833FF" w14:textId="77777777" w:rsidR="00727F41" w:rsidRDefault="00485E89">
      <w:pPr>
        <w:pStyle w:val="21"/>
      </w:pPr>
      <w:bookmarkStart w:id="33" w:name="_Toc244165165"/>
      <w:r>
        <w:t xml:space="preserve">7.4 </w:t>
      </w:r>
      <w:r>
        <w:t>化学解释与前沿比较</w:t>
      </w:r>
      <w:bookmarkEnd w:id="33"/>
    </w:p>
    <w:p w14:paraId="47CFAB08" w14:textId="77777777" w:rsidR="00727F41" w:rsidRDefault="00485E89">
      <w:pPr>
        <w:jc w:val="both"/>
      </w:pPr>
      <w:r>
        <w:t>确认实验中有</w:t>
      </w:r>
      <w:r>
        <w:t>14</w:t>
      </w:r>
      <w:r>
        <w:t>个已知错误，其中</w:t>
      </w:r>
      <w:r>
        <w:t>1</w:t>
      </w:r>
      <w:r>
        <w:t>个校准后最高概率</w:t>
      </w:r>
      <w:r>
        <w:t>≥0.8</w:t>
      </w:r>
      <w:r>
        <w:t>。图</w:t>
      </w:r>
      <w:r>
        <w:t>6</w:t>
      </w:r>
      <w:r>
        <w:t>示出概率最高的已知错误</w:t>
      </w:r>
      <w:r>
        <w:t>R050269</w:t>
      </w:r>
      <w:r>
        <w:t>和被接受未知中概率最高的</w:t>
      </w:r>
      <w:r>
        <w:t>R050001</w:t>
      </w:r>
      <w:r>
        <w:t>。逐谱结果保存了真实规则类、预测类、概率、</w:t>
      </w:r>
      <w:r>
        <w:t>T²</w:t>
      </w:r>
      <w:r>
        <w:t>、</w:t>
      </w:r>
      <w:r>
        <w:t>Q</w:t>
      </w:r>
      <w:r>
        <w:t>及接受标记，可追溯到来源理想化学式与谱记录。类别的振动基团可能具有相近峰区，多组分取代、参考谱处理及仅保留</w:t>
      </w:r>
      <w:r>
        <w:t>10</w:t>
      </w:r>
      <w:r>
        <w:t>个主成分也可能影响区分；本实验没有开展波段干预或独立结构鉴定，故这些是待检验解释，不将载荷、峰形或分类相关性写成已证实的机制。</w:t>
      </w:r>
    </w:p>
    <w:p w14:paraId="04E1333E" w14:textId="77777777" w:rsidR="00727F41" w:rsidRDefault="00485E89">
      <w:pPr>
        <w:keepNext/>
        <w:ind w:firstLine="0"/>
        <w:jc w:val="center"/>
      </w:pPr>
      <w:r>
        <w:rPr>
          <w:noProof/>
        </w:rPr>
        <w:drawing>
          <wp:inline distT="0" distB="0" distL="0" distR="0" wp14:anchorId="2C363A77" wp14:editId="376DA86B">
            <wp:extent cx="6172200" cy="2242296"/>
            <wp:effectExtent l="0" t="0" r="0" b="0"/>
            <wp:docPr id="6" name="Picture 6" descr="真实失败样品光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ailure_examples.png"/>
                    <pic:cNvPicPr/>
                  </pic:nvPicPr>
                  <pic:blipFill>
                    <a:blip r:embed="rId13"/>
                    <a:stretch>
                      <a:fillRect/>
                    </a:stretch>
                  </pic:blipFill>
                  <pic:spPr>
                    <a:xfrm>
                      <a:off x="0" y="0"/>
                      <a:ext cx="6172200" cy="2242296"/>
                    </a:xfrm>
                    <a:prstGeom prst="rect">
                      <a:avLst/>
                    </a:prstGeom>
                  </pic:spPr>
                </pic:pic>
              </a:graphicData>
            </a:graphic>
          </wp:inline>
        </w:drawing>
      </w:r>
    </w:p>
    <w:p w14:paraId="4E778320" w14:textId="77777777" w:rsidR="00727F41" w:rsidRDefault="00485E89">
      <w:pPr>
        <w:pStyle w:val="af7"/>
      </w:pPr>
      <w:r>
        <w:t>图</w:t>
      </w:r>
      <w:r>
        <w:t xml:space="preserve">6 </w:t>
      </w:r>
      <w:r>
        <w:t>预设主实验的真实失败样品。左为已知规则类误分，右为留出未知材料被接受；标题给出</w:t>
      </w:r>
      <w:r>
        <w:t>RRUFF</w:t>
      </w:r>
      <w:r>
        <w:t>编号、预测最高概率与适用域评分。样品从对应失败组按最高校准概率确定，用于诊断，未据其结果重新拟合模型。</w:t>
      </w:r>
    </w:p>
    <w:p w14:paraId="59EE45E7" w14:textId="77777777" w:rsidR="00727F41" w:rsidRDefault="00485E89">
      <w:pPr>
        <w:jc w:val="both"/>
      </w:pPr>
      <w:r>
        <w:lastRenderedPageBreak/>
        <w:t>文献中的分析化学应用提供了更完整的使用情境。</w:t>
      </w:r>
      <w:r>
        <w:t>Cowger</w:t>
      </w:r>
      <w:r>
        <w:t>等的</w:t>
      </w:r>
      <w:r>
        <w:t>OpenSpecy</w:t>
      </w:r>
      <w:r>
        <w:t>流程将微塑料图像和光谱处理、谱库匹配、颗粒测量及报告串联。其公开接受稿比较了</w:t>
      </w:r>
      <w:r>
        <w:t>15</w:t>
      </w:r>
      <w:r>
        <w:t>种配置、</w:t>
      </w:r>
      <w:r>
        <w:t>22</w:t>
      </w:r>
      <w:r>
        <w:t>幅图像中的</w:t>
      </w:r>
      <w:r>
        <w:t>2880</w:t>
      </w:r>
      <w:r>
        <w:t>个颗粒，提示数据处理和阈值应在具体颗粒与测量情境下验证</w:t>
      </w:r>
      <w:r>
        <w:rPr>
          <w:sz w:val="18"/>
          <w:vertAlign w:val="superscript"/>
        </w:rPr>
        <w:t>[2]</w:t>
      </w:r>
      <w:r>
        <w:t>。</w:t>
      </w:r>
      <w:r>
        <w:t xml:space="preserve"> </w:t>
      </w:r>
      <w:r>
        <w:t>谱库匹配相关系数应与参考鉴定结果、未匹配颗粒及处理规则一起解释，不能直接当作本实验的校准概率；该研究的验证对象也不同于此处的单条参考拉曼谱。</w:t>
      </w:r>
    </w:p>
    <w:p w14:paraId="24FCA29C" w14:textId="77777777" w:rsidR="00727F41" w:rsidRDefault="00485E89">
      <w:pPr>
        <w:jc w:val="both"/>
      </w:pPr>
      <w:r>
        <w:t>表</w:t>
      </w:r>
      <w:r>
        <w:t>6</w:t>
      </w:r>
      <w:r>
        <w:t>概括理论、化学预测及实际采集层级的近期进展。共形预测回答集合覆盖，适用域研究关注训练支持，生物光谱验证研究关注采集层级。本文结果进一步说明，三个层面之前还需检查参比标签是否与化学定义一致。</w:t>
      </w:r>
    </w:p>
    <w:p w14:paraId="0AF6FF89" w14:textId="77777777" w:rsidR="00727F41" w:rsidRDefault="00485E89">
      <w:pPr>
        <w:pStyle w:val="af7"/>
        <w:keepNext/>
      </w:pPr>
      <w:r>
        <w:t>表</w:t>
      </w:r>
      <w:r>
        <w:t xml:space="preserve">6 </w:t>
      </w:r>
      <w:r>
        <w:t>近期研究的贡献与应用边界</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3888"/>
        <w:gridCol w:w="3888"/>
      </w:tblGrid>
      <w:tr w:rsidR="00727F41" w14:paraId="57413354" w14:textId="77777777">
        <w:trPr>
          <w:cantSplit/>
          <w:tblHeader/>
          <w:jc w:val="center"/>
        </w:trPr>
        <w:tc>
          <w:tcPr>
            <w:tcW w:w="2016" w:type="dxa"/>
            <w:shd w:val="clear" w:color="auto" w:fill="E9EFF3"/>
            <w:tcMar>
              <w:top w:w="60" w:type="dxa"/>
              <w:left w:w="90" w:type="dxa"/>
              <w:bottom w:w="60" w:type="dxa"/>
              <w:right w:w="90" w:type="dxa"/>
            </w:tcMar>
            <w:vAlign w:val="center"/>
          </w:tcPr>
          <w:p w14:paraId="40B5DB79" w14:textId="77777777" w:rsidR="00727F41" w:rsidRDefault="00485E89">
            <w:pPr>
              <w:keepNext/>
              <w:spacing w:after="0" w:line="240" w:lineRule="auto"/>
              <w:ind w:firstLine="0"/>
              <w:jc w:val="center"/>
            </w:pPr>
            <w:r>
              <w:rPr>
                <w:b/>
                <w:sz w:val="20"/>
              </w:rPr>
              <w:t>研究</w:t>
            </w:r>
          </w:p>
        </w:tc>
        <w:tc>
          <w:tcPr>
            <w:tcW w:w="3888" w:type="dxa"/>
            <w:shd w:val="clear" w:color="auto" w:fill="E9EFF3"/>
            <w:tcMar>
              <w:top w:w="60" w:type="dxa"/>
              <w:left w:w="90" w:type="dxa"/>
              <w:bottom w:w="60" w:type="dxa"/>
              <w:right w:w="90" w:type="dxa"/>
            </w:tcMar>
            <w:vAlign w:val="center"/>
          </w:tcPr>
          <w:p w14:paraId="1BB18D59" w14:textId="77777777" w:rsidR="00727F41" w:rsidRDefault="00485E89">
            <w:pPr>
              <w:keepNext/>
              <w:spacing w:after="0" w:line="240" w:lineRule="auto"/>
              <w:ind w:firstLine="0"/>
            </w:pPr>
            <w:r>
              <w:rPr>
                <w:b/>
                <w:sz w:val="20"/>
              </w:rPr>
              <w:t>研究对象与贡献</w:t>
            </w:r>
          </w:p>
        </w:tc>
        <w:tc>
          <w:tcPr>
            <w:tcW w:w="3888" w:type="dxa"/>
            <w:shd w:val="clear" w:color="auto" w:fill="E9EFF3"/>
            <w:tcMar>
              <w:top w:w="60" w:type="dxa"/>
              <w:left w:w="90" w:type="dxa"/>
              <w:bottom w:w="60" w:type="dxa"/>
              <w:right w:w="90" w:type="dxa"/>
            </w:tcMar>
            <w:vAlign w:val="center"/>
          </w:tcPr>
          <w:p w14:paraId="05884163" w14:textId="77777777" w:rsidR="00727F41" w:rsidRDefault="00485E89">
            <w:pPr>
              <w:keepNext/>
              <w:spacing w:after="0" w:line="240" w:lineRule="auto"/>
              <w:ind w:firstLine="0"/>
            </w:pPr>
            <w:r>
              <w:rPr>
                <w:b/>
                <w:sz w:val="20"/>
              </w:rPr>
              <w:t>对本文的启示与限制</w:t>
            </w:r>
          </w:p>
        </w:tc>
      </w:tr>
      <w:tr w:rsidR="00727F41" w14:paraId="25AFBB5E" w14:textId="77777777">
        <w:trPr>
          <w:cantSplit/>
          <w:jc w:val="center"/>
        </w:trPr>
        <w:tc>
          <w:tcPr>
            <w:tcW w:w="2016" w:type="dxa"/>
            <w:shd w:val="clear" w:color="auto" w:fill="FFFFFF"/>
            <w:tcMar>
              <w:top w:w="60" w:type="dxa"/>
              <w:left w:w="90" w:type="dxa"/>
              <w:bottom w:w="60" w:type="dxa"/>
              <w:right w:w="90" w:type="dxa"/>
            </w:tcMar>
            <w:vAlign w:val="center"/>
          </w:tcPr>
          <w:p w14:paraId="7B5AF87A" w14:textId="77777777" w:rsidR="00727F41" w:rsidRDefault="00485E89">
            <w:pPr>
              <w:spacing w:after="0" w:line="240" w:lineRule="auto"/>
              <w:ind w:firstLine="0"/>
              <w:jc w:val="center"/>
            </w:pPr>
            <w:r>
              <w:rPr>
                <w:sz w:val="20"/>
              </w:rPr>
              <w:t>Oliveira</w:t>
            </w:r>
            <w:r>
              <w:rPr>
                <w:sz w:val="20"/>
              </w:rPr>
              <w:t>等</w:t>
            </w:r>
            <w:r>
              <w:rPr>
                <w:sz w:val="20"/>
              </w:rPr>
              <w:t xml:space="preserve"> 2024</w:t>
            </w:r>
          </w:p>
        </w:tc>
        <w:tc>
          <w:tcPr>
            <w:tcW w:w="3888" w:type="dxa"/>
            <w:shd w:val="clear" w:color="auto" w:fill="FFFFFF"/>
            <w:tcMar>
              <w:top w:w="60" w:type="dxa"/>
              <w:left w:w="90" w:type="dxa"/>
              <w:bottom w:w="60" w:type="dxa"/>
              <w:right w:w="90" w:type="dxa"/>
            </w:tcMar>
            <w:vAlign w:val="center"/>
          </w:tcPr>
          <w:p w14:paraId="6BFB4DCA" w14:textId="77777777" w:rsidR="00727F41" w:rsidRDefault="00485E89">
            <w:pPr>
              <w:spacing w:after="0" w:line="240" w:lineRule="auto"/>
              <w:ind w:firstLine="0"/>
            </w:pPr>
            <w:r>
              <w:rPr>
                <w:sz w:val="20"/>
              </w:rPr>
              <w:t>非交换数据的</w:t>
            </w:r>
            <w:r>
              <w:rPr>
                <w:sz w:val="20"/>
              </w:rPr>
              <w:t>split conformal</w:t>
            </w:r>
            <w:r>
              <w:rPr>
                <w:sz w:val="20"/>
              </w:rPr>
              <w:t>覆盖分析</w:t>
            </w:r>
          </w:p>
        </w:tc>
        <w:tc>
          <w:tcPr>
            <w:tcW w:w="3888" w:type="dxa"/>
            <w:shd w:val="clear" w:color="auto" w:fill="FFFFFF"/>
            <w:tcMar>
              <w:top w:w="60" w:type="dxa"/>
              <w:left w:w="90" w:type="dxa"/>
              <w:bottom w:w="60" w:type="dxa"/>
              <w:right w:w="90" w:type="dxa"/>
            </w:tcMar>
            <w:vAlign w:val="center"/>
          </w:tcPr>
          <w:p w14:paraId="22E426C3" w14:textId="77777777" w:rsidR="00727F41" w:rsidRDefault="00485E89">
            <w:pPr>
              <w:spacing w:after="0" w:line="240" w:lineRule="auto"/>
              <w:ind w:firstLine="0"/>
            </w:pPr>
            <w:r>
              <w:rPr>
                <w:sz w:val="20"/>
              </w:rPr>
              <w:t>检查依赖条件及覆盖损失</w:t>
            </w:r>
          </w:p>
        </w:tc>
      </w:tr>
      <w:tr w:rsidR="00727F41" w14:paraId="002DC8FF" w14:textId="77777777">
        <w:trPr>
          <w:cantSplit/>
          <w:jc w:val="center"/>
        </w:trPr>
        <w:tc>
          <w:tcPr>
            <w:tcW w:w="2016" w:type="dxa"/>
            <w:shd w:val="clear" w:color="auto" w:fill="F8FAFC"/>
            <w:tcMar>
              <w:top w:w="60" w:type="dxa"/>
              <w:left w:w="90" w:type="dxa"/>
              <w:bottom w:w="60" w:type="dxa"/>
              <w:right w:w="90" w:type="dxa"/>
            </w:tcMar>
            <w:vAlign w:val="center"/>
          </w:tcPr>
          <w:p w14:paraId="61B3C549" w14:textId="77777777" w:rsidR="00727F41" w:rsidRDefault="00485E89">
            <w:pPr>
              <w:spacing w:after="0" w:line="240" w:lineRule="auto"/>
              <w:ind w:firstLine="0"/>
              <w:jc w:val="center"/>
            </w:pPr>
            <w:r>
              <w:rPr>
                <w:sz w:val="20"/>
              </w:rPr>
              <w:t>Xu</w:t>
            </w:r>
            <w:r>
              <w:rPr>
                <w:sz w:val="20"/>
              </w:rPr>
              <w:t>等</w:t>
            </w:r>
            <w:r>
              <w:rPr>
                <w:sz w:val="20"/>
              </w:rPr>
              <w:t xml:space="preserve"> 2024</w:t>
            </w:r>
          </w:p>
        </w:tc>
        <w:tc>
          <w:tcPr>
            <w:tcW w:w="3888" w:type="dxa"/>
            <w:shd w:val="clear" w:color="auto" w:fill="F8FAFC"/>
            <w:tcMar>
              <w:top w:w="60" w:type="dxa"/>
              <w:left w:w="90" w:type="dxa"/>
              <w:bottom w:w="60" w:type="dxa"/>
              <w:right w:w="90" w:type="dxa"/>
            </w:tcMar>
            <w:vAlign w:val="center"/>
          </w:tcPr>
          <w:p w14:paraId="48A46DF1" w14:textId="77777777" w:rsidR="00727F41" w:rsidRDefault="00485E89">
            <w:pPr>
              <w:spacing w:after="0" w:line="240" w:lineRule="auto"/>
              <w:ind w:firstLine="0"/>
            </w:pPr>
            <w:r>
              <w:rPr>
                <w:sz w:val="20"/>
              </w:rPr>
              <w:t>QSAR</w:t>
            </w:r>
            <w:r>
              <w:rPr>
                <w:sz w:val="20"/>
              </w:rPr>
              <w:t>回归共形方法评价</w:t>
            </w:r>
          </w:p>
        </w:tc>
        <w:tc>
          <w:tcPr>
            <w:tcW w:w="3888" w:type="dxa"/>
            <w:shd w:val="clear" w:color="auto" w:fill="F8FAFC"/>
            <w:tcMar>
              <w:top w:w="60" w:type="dxa"/>
              <w:left w:w="90" w:type="dxa"/>
              <w:bottom w:w="60" w:type="dxa"/>
              <w:right w:w="90" w:type="dxa"/>
            </w:tcMar>
            <w:vAlign w:val="center"/>
          </w:tcPr>
          <w:p w14:paraId="671A8A05" w14:textId="77777777" w:rsidR="00727F41" w:rsidRDefault="00485E89">
            <w:pPr>
              <w:spacing w:after="0" w:line="240" w:lineRule="auto"/>
              <w:ind w:firstLine="0"/>
            </w:pPr>
            <w:r>
              <w:rPr>
                <w:sz w:val="20"/>
              </w:rPr>
              <w:t>同时报告有效性与区间效率</w:t>
            </w:r>
          </w:p>
        </w:tc>
      </w:tr>
      <w:tr w:rsidR="00727F41" w14:paraId="532BA193" w14:textId="77777777">
        <w:trPr>
          <w:cantSplit/>
          <w:jc w:val="center"/>
        </w:trPr>
        <w:tc>
          <w:tcPr>
            <w:tcW w:w="2016" w:type="dxa"/>
            <w:shd w:val="clear" w:color="auto" w:fill="FFFFFF"/>
            <w:tcMar>
              <w:top w:w="60" w:type="dxa"/>
              <w:left w:w="90" w:type="dxa"/>
              <w:bottom w:w="60" w:type="dxa"/>
              <w:right w:w="90" w:type="dxa"/>
            </w:tcMar>
            <w:vAlign w:val="center"/>
          </w:tcPr>
          <w:p w14:paraId="778496AE" w14:textId="77777777" w:rsidR="00727F41" w:rsidRDefault="00485E89">
            <w:pPr>
              <w:spacing w:after="0" w:line="240" w:lineRule="auto"/>
              <w:ind w:firstLine="0"/>
              <w:jc w:val="center"/>
            </w:pPr>
            <w:r>
              <w:rPr>
                <w:sz w:val="20"/>
              </w:rPr>
              <w:t>Jovic 2025</w:t>
            </w:r>
          </w:p>
        </w:tc>
        <w:tc>
          <w:tcPr>
            <w:tcW w:w="3888" w:type="dxa"/>
            <w:shd w:val="clear" w:color="auto" w:fill="FFFFFF"/>
            <w:tcMar>
              <w:top w:w="60" w:type="dxa"/>
              <w:left w:w="90" w:type="dxa"/>
              <w:bottom w:w="60" w:type="dxa"/>
              <w:right w:w="90" w:type="dxa"/>
            </w:tcMar>
            <w:vAlign w:val="center"/>
          </w:tcPr>
          <w:p w14:paraId="34958C52" w14:textId="77777777" w:rsidR="00727F41" w:rsidRDefault="00485E89">
            <w:pPr>
              <w:spacing w:after="0" w:line="240" w:lineRule="auto"/>
              <w:ind w:firstLine="0"/>
            </w:pPr>
            <w:r>
              <w:rPr>
                <w:sz w:val="20"/>
              </w:rPr>
              <w:t>中红外食品掺假定量的共形预测</w:t>
            </w:r>
          </w:p>
        </w:tc>
        <w:tc>
          <w:tcPr>
            <w:tcW w:w="3888" w:type="dxa"/>
            <w:shd w:val="clear" w:color="auto" w:fill="FFFFFF"/>
            <w:tcMar>
              <w:top w:w="60" w:type="dxa"/>
              <w:left w:w="90" w:type="dxa"/>
              <w:bottom w:w="60" w:type="dxa"/>
              <w:right w:w="90" w:type="dxa"/>
            </w:tcMar>
            <w:vAlign w:val="center"/>
          </w:tcPr>
          <w:p w14:paraId="6834F86F" w14:textId="77777777" w:rsidR="00727F41" w:rsidRDefault="00485E89">
            <w:pPr>
              <w:spacing w:after="0" w:line="240" w:lineRule="auto"/>
              <w:ind w:firstLine="0"/>
            </w:pPr>
            <w:r>
              <w:rPr>
                <w:sz w:val="20"/>
              </w:rPr>
              <w:t>化学实例</w:t>
            </w:r>
            <w:r>
              <w:rPr>
                <w:sz w:val="20"/>
              </w:rPr>
              <w:t xml:space="preserve"> </w:t>
            </w:r>
            <w:r>
              <w:rPr>
                <w:sz w:val="20"/>
              </w:rPr>
              <w:t>原数据不允许共享</w:t>
            </w:r>
          </w:p>
        </w:tc>
      </w:tr>
      <w:tr w:rsidR="00727F41" w14:paraId="3C3BC20A" w14:textId="77777777">
        <w:trPr>
          <w:cantSplit/>
          <w:jc w:val="center"/>
        </w:trPr>
        <w:tc>
          <w:tcPr>
            <w:tcW w:w="2016" w:type="dxa"/>
            <w:shd w:val="clear" w:color="auto" w:fill="F8FAFC"/>
            <w:tcMar>
              <w:top w:w="60" w:type="dxa"/>
              <w:left w:w="90" w:type="dxa"/>
              <w:bottom w:w="60" w:type="dxa"/>
              <w:right w:w="90" w:type="dxa"/>
            </w:tcMar>
            <w:vAlign w:val="center"/>
          </w:tcPr>
          <w:p w14:paraId="4BE269C8" w14:textId="77777777" w:rsidR="00727F41" w:rsidRDefault="00485E89">
            <w:pPr>
              <w:spacing w:after="0" w:line="240" w:lineRule="auto"/>
              <w:ind w:firstLine="0"/>
              <w:jc w:val="center"/>
            </w:pPr>
            <w:r>
              <w:rPr>
                <w:sz w:val="20"/>
              </w:rPr>
              <w:t>Lilek</w:t>
            </w:r>
            <w:r>
              <w:rPr>
                <w:sz w:val="20"/>
              </w:rPr>
              <w:t>等</w:t>
            </w:r>
            <w:r>
              <w:rPr>
                <w:sz w:val="20"/>
              </w:rPr>
              <w:t xml:space="preserve"> 2025</w:t>
            </w:r>
          </w:p>
        </w:tc>
        <w:tc>
          <w:tcPr>
            <w:tcW w:w="3888" w:type="dxa"/>
            <w:shd w:val="clear" w:color="auto" w:fill="F8FAFC"/>
            <w:tcMar>
              <w:top w:w="60" w:type="dxa"/>
              <w:left w:w="90" w:type="dxa"/>
              <w:bottom w:w="60" w:type="dxa"/>
              <w:right w:w="90" w:type="dxa"/>
            </w:tcMar>
            <w:vAlign w:val="center"/>
          </w:tcPr>
          <w:p w14:paraId="4800EE47" w14:textId="77777777" w:rsidR="00727F41" w:rsidRDefault="00485E89">
            <w:pPr>
              <w:spacing w:after="0" w:line="240" w:lineRule="auto"/>
              <w:ind w:firstLine="0"/>
            </w:pPr>
            <w:r>
              <w:rPr>
                <w:sz w:val="20"/>
              </w:rPr>
              <w:t>生物光谱验证策略比较</w:t>
            </w:r>
          </w:p>
        </w:tc>
        <w:tc>
          <w:tcPr>
            <w:tcW w:w="3888" w:type="dxa"/>
            <w:shd w:val="clear" w:color="auto" w:fill="F8FAFC"/>
            <w:tcMar>
              <w:top w:w="60" w:type="dxa"/>
              <w:left w:w="90" w:type="dxa"/>
              <w:bottom w:w="60" w:type="dxa"/>
              <w:right w:w="90" w:type="dxa"/>
            </w:tcMar>
            <w:vAlign w:val="center"/>
          </w:tcPr>
          <w:p w14:paraId="66C204B7" w14:textId="77777777" w:rsidR="00727F41" w:rsidRDefault="00485E89">
            <w:pPr>
              <w:spacing w:after="0" w:line="240" w:lineRule="auto"/>
              <w:ind w:firstLine="0"/>
            </w:pPr>
            <w:r>
              <w:rPr>
                <w:sz w:val="20"/>
              </w:rPr>
              <w:t>组单位依赖实际采集层级</w:t>
            </w:r>
          </w:p>
        </w:tc>
      </w:tr>
      <w:tr w:rsidR="00727F41" w14:paraId="230510A7" w14:textId="77777777">
        <w:trPr>
          <w:cantSplit/>
          <w:jc w:val="center"/>
        </w:trPr>
        <w:tc>
          <w:tcPr>
            <w:tcW w:w="2016" w:type="dxa"/>
            <w:shd w:val="clear" w:color="auto" w:fill="FFFFFF"/>
            <w:tcMar>
              <w:top w:w="60" w:type="dxa"/>
              <w:left w:w="90" w:type="dxa"/>
              <w:bottom w:w="60" w:type="dxa"/>
              <w:right w:w="90" w:type="dxa"/>
            </w:tcMar>
            <w:vAlign w:val="center"/>
          </w:tcPr>
          <w:p w14:paraId="5B8FC024" w14:textId="77777777" w:rsidR="00727F41" w:rsidRDefault="00485E89">
            <w:pPr>
              <w:spacing w:after="0" w:line="240" w:lineRule="auto"/>
              <w:ind w:firstLine="0"/>
              <w:jc w:val="center"/>
            </w:pPr>
            <w:r>
              <w:rPr>
                <w:sz w:val="20"/>
              </w:rPr>
              <w:t>Cowger</w:t>
            </w:r>
            <w:r>
              <w:rPr>
                <w:sz w:val="20"/>
              </w:rPr>
              <w:t>等</w:t>
            </w:r>
            <w:r>
              <w:rPr>
                <w:sz w:val="20"/>
              </w:rPr>
              <w:t xml:space="preserve"> 2025</w:t>
            </w:r>
          </w:p>
        </w:tc>
        <w:tc>
          <w:tcPr>
            <w:tcW w:w="3888" w:type="dxa"/>
            <w:shd w:val="clear" w:color="auto" w:fill="FFFFFF"/>
            <w:tcMar>
              <w:top w:w="60" w:type="dxa"/>
              <w:left w:w="90" w:type="dxa"/>
              <w:bottom w:w="60" w:type="dxa"/>
              <w:right w:w="90" w:type="dxa"/>
            </w:tcMar>
            <w:vAlign w:val="center"/>
          </w:tcPr>
          <w:p w14:paraId="34CAFBFF" w14:textId="77777777" w:rsidR="00727F41" w:rsidRDefault="00485E89">
            <w:pPr>
              <w:spacing w:after="0" w:line="240" w:lineRule="auto"/>
              <w:ind w:firstLine="0"/>
            </w:pPr>
            <w:r>
              <w:rPr>
                <w:sz w:val="20"/>
              </w:rPr>
              <w:t>微塑料自动光谱分析流程</w:t>
            </w:r>
          </w:p>
        </w:tc>
        <w:tc>
          <w:tcPr>
            <w:tcW w:w="3888" w:type="dxa"/>
            <w:shd w:val="clear" w:color="auto" w:fill="FFFFFF"/>
            <w:tcMar>
              <w:top w:w="60" w:type="dxa"/>
              <w:left w:w="90" w:type="dxa"/>
              <w:bottom w:w="60" w:type="dxa"/>
              <w:right w:w="90" w:type="dxa"/>
            </w:tcMar>
            <w:vAlign w:val="center"/>
          </w:tcPr>
          <w:p w14:paraId="6A323416" w14:textId="77777777" w:rsidR="00727F41" w:rsidRDefault="00485E89">
            <w:pPr>
              <w:spacing w:after="0" w:line="240" w:lineRule="auto"/>
              <w:ind w:firstLine="0"/>
            </w:pPr>
            <w:r>
              <w:rPr>
                <w:sz w:val="20"/>
              </w:rPr>
              <w:t>阈值与样品及处理情境相连</w:t>
            </w:r>
          </w:p>
        </w:tc>
      </w:tr>
      <w:tr w:rsidR="00727F41" w14:paraId="36B2972C" w14:textId="77777777">
        <w:trPr>
          <w:cantSplit/>
          <w:jc w:val="center"/>
        </w:trPr>
        <w:tc>
          <w:tcPr>
            <w:tcW w:w="2016" w:type="dxa"/>
            <w:shd w:val="clear" w:color="auto" w:fill="F8FAFC"/>
            <w:tcMar>
              <w:top w:w="60" w:type="dxa"/>
              <w:left w:w="90" w:type="dxa"/>
              <w:bottom w:w="60" w:type="dxa"/>
              <w:right w:w="90" w:type="dxa"/>
            </w:tcMar>
            <w:vAlign w:val="center"/>
          </w:tcPr>
          <w:p w14:paraId="145C9649" w14:textId="77777777" w:rsidR="00727F41" w:rsidRDefault="00485E89">
            <w:pPr>
              <w:spacing w:after="0" w:line="240" w:lineRule="auto"/>
              <w:ind w:firstLine="0"/>
              <w:jc w:val="center"/>
            </w:pPr>
            <w:r>
              <w:rPr>
                <w:sz w:val="20"/>
              </w:rPr>
              <w:t>Hosni</w:t>
            </w:r>
            <w:r>
              <w:rPr>
                <w:sz w:val="20"/>
              </w:rPr>
              <w:t>等</w:t>
            </w:r>
            <w:r>
              <w:rPr>
                <w:sz w:val="20"/>
              </w:rPr>
              <w:t xml:space="preserve"> 2026</w:t>
            </w:r>
          </w:p>
        </w:tc>
        <w:tc>
          <w:tcPr>
            <w:tcW w:w="3888" w:type="dxa"/>
            <w:shd w:val="clear" w:color="auto" w:fill="F8FAFC"/>
            <w:tcMar>
              <w:top w:w="60" w:type="dxa"/>
              <w:left w:w="90" w:type="dxa"/>
              <w:bottom w:w="60" w:type="dxa"/>
              <w:right w:w="90" w:type="dxa"/>
            </w:tcMar>
            <w:vAlign w:val="center"/>
          </w:tcPr>
          <w:p w14:paraId="3EFE2A2A" w14:textId="77777777" w:rsidR="00727F41" w:rsidRDefault="00485E89">
            <w:pPr>
              <w:spacing w:after="0" w:line="240" w:lineRule="auto"/>
              <w:ind w:firstLine="0"/>
            </w:pPr>
            <w:r>
              <w:rPr>
                <w:sz w:val="20"/>
              </w:rPr>
              <w:t>QSAR</w:t>
            </w:r>
            <w:r>
              <w:rPr>
                <w:sz w:val="20"/>
              </w:rPr>
              <w:t>适用域与不确定度可靠性</w:t>
            </w:r>
          </w:p>
        </w:tc>
        <w:tc>
          <w:tcPr>
            <w:tcW w:w="3888" w:type="dxa"/>
            <w:shd w:val="clear" w:color="auto" w:fill="F8FAFC"/>
            <w:tcMar>
              <w:top w:w="60" w:type="dxa"/>
              <w:left w:w="90" w:type="dxa"/>
              <w:bottom w:w="60" w:type="dxa"/>
              <w:right w:w="90" w:type="dxa"/>
            </w:tcMar>
            <w:vAlign w:val="center"/>
          </w:tcPr>
          <w:p w14:paraId="37A45736" w14:textId="77777777" w:rsidR="00727F41" w:rsidRDefault="00485E89">
            <w:pPr>
              <w:spacing w:after="0" w:line="240" w:lineRule="auto"/>
              <w:ind w:firstLine="0"/>
            </w:pPr>
            <w:r>
              <w:rPr>
                <w:sz w:val="20"/>
              </w:rPr>
              <w:t>二者互补</w:t>
            </w:r>
            <w:r>
              <w:rPr>
                <w:sz w:val="20"/>
              </w:rPr>
              <w:t xml:space="preserve"> </w:t>
            </w:r>
            <w:r>
              <w:rPr>
                <w:sz w:val="20"/>
              </w:rPr>
              <w:t>指标需按任务验证</w:t>
            </w:r>
          </w:p>
        </w:tc>
      </w:tr>
    </w:tbl>
    <w:p w14:paraId="7C5E43AE" w14:textId="77777777" w:rsidR="00727F41" w:rsidRDefault="00727F41">
      <w:pPr>
        <w:spacing w:after="0"/>
      </w:pPr>
    </w:p>
    <w:p w14:paraId="47575C1A" w14:textId="77777777" w:rsidR="00727F41" w:rsidRDefault="00485E89">
      <w:pPr>
        <w:jc w:val="both"/>
      </w:pPr>
      <w:r>
        <w:t>表</w:t>
      </w:r>
      <w:r>
        <w:t>6</w:t>
      </w:r>
      <w:r>
        <w:t>的文献分别见相关原始来源</w:t>
      </w:r>
      <w:r>
        <w:rPr>
          <w:sz w:val="18"/>
          <w:vertAlign w:val="superscript"/>
        </w:rPr>
        <w:t>[2,10,11,12,13,22]</w:t>
      </w:r>
      <w:r>
        <w:t>。</w:t>
      </w:r>
      <w:r>
        <w:t xml:space="preserve"> </w:t>
      </w:r>
      <w:r>
        <w:t>对</w:t>
      </w:r>
      <w:r>
        <w:t>Lilek</w:t>
      </w:r>
      <w:r>
        <w:t>等仅使用已取得的公开摘要和补充说明，不外推未核对的参数与数值；</w:t>
      </w:r>
      <w:r>
        <w:t>Jovic</w:t>
      </w:r>
      <w:r>
        <w:t>数据未作为本组复现源。本文提供带版本的选谱数据、预设方案、代码、逐谱输出和交互页面；交互只在固定测试输出上重算指标，滑块探索不会获得新的独立验证证据。</w:t>
      </w:r>
    </w:p>
    <w:p w14:paraId="7D752EE1" w14:textId="77777777" w:rsidR="00727F41" w:rsidRDefault="00485E89">
      <w:pPr>
        <w:pStyle w:val="1"/>
      </w:pPr>
      <w:bookmarkStart w:id="34" w:name="_Toc244165166"/>
      <w:r>
        <w:t>八、结论与展望</w:t>
      </w:r>
      <w:bookmarkEnd w:id="34"/>
    </w:p>
    <w:p w14:paraId="13945AFD" w14:textId="77777777" w:rsidR="00727F41" w:rsidRDefault="00485E89">
      <w:pPr>
        <w:jc w:val="both"/>
      </w:pPr>
      <w:r>
        <w:t>可信智能分析需要将预测结果与分析用途、数据支持和测量条件相联系。不确定度表征说明变化来源与表达对象，概率校准检查概率与频率是否相符，适用域与拒识处理输入支持不足时的行动，因果与对照研究则为化学机制判断提供进一步证据。各环节相互补充，单项性能或单一方法名称均不足以涵盖全部要求。</w:t>
      </w:r>
    </w:p>
    <w:p w14:paraId="3D734918" w14:textId="77777777" w:rsidR="00727F41" w:rsidRDefault="00485E89">
      <w:pPr>
        <w:jc w:val="both"/>
      </w:pPr>
      <w:r>
        <w:t>本文的拉曼规则分类实验将上述要求落实为标签审计、编号隔离、独立校准和固定阈值。主实验中概率质量有所改善，但分类能力有限，未知材料仍被大量接受；同池划分也呈现明显波动。先导阶段发现的化学式与整理标签冲突表明，可信性需要同时追问预测依据和参比依据。后续研究可增加跨矿物种与跨仪器留出、取得重新测量及样品纯度证据，再评价适用域和化学解释。现有结果支持可复核教学与方法比较，不足以支持自动矿物鉴定的实际部署。</w:t>
      </w:r>
    </w:p>
    <w:p w14:paraId="0AC7E581" w14:textId="77777777" w:rsidR="00727F41" w:rsidRDefault="00485E89">
      <w:r>
        <w:br w:type="page"/>
      </w:r>
    </w:p>
    <w:p w14:paraId="31BC39CA" w14:textId="77777777" w:rsidR="00727F41" w:rsidRDefault="00485E89">
      <w:pPr>
        <w:pStyle w:val="1"/>
      </w:pPr>
      <w:bookmarkStart w:id="35" w:name="_Toc244165167"/>
      <w:r>
        <w:lastRenderedPageBreak/>
        <w:t>参考文献</w:t>
      </w:r>
      <w:bookmarkEnd w:id="35"/>
    </w:p>
    <w:p w14:paraId="1D01CF81" w14:textId="77777777" w:rsidR="00727F41" w:rsidRDefault="00485E89">
      <w:pPr>
        <w:spacing w:after="120" w:line="274" w:lineRule="auto"/>
        <w:ind w:left="360" w:hanging="360"/>
      </w:pPr>
      <w:r>
        <w:rPr>
          <w:sz w:val="19"/>
        </w:rPr>
        <w:t xml:space="preserve">[1] HO C S, JEAN N, HOGAN C A, et al. Rapid identification of pathogenic bacteria using Raman spectroscopy and deep learning[J]. Nature Communications, 2019, 10(1): 4927. </w:t>
      </w:r>
      <w:hyperlink r:id="rId14">
        <w:r>
          <w:rPr>
            <w:color w:val="1F4E79"/>
            <w:sz w:val="19"/>
          </w:rPr>
          <w:t>DOI: 10.1038/s41467-019-12898-9</w:t>
        </w:r>
      </w:hyperlink>
    </w:p>
    <w:p w14:paraId="69824886" w14:textId="77777777" w:rsidR="00727F41" w:rsidRDefault="00485E89">
      <w:pPr>
        <w:spacing w:after="120" w:line="274" w:lineRule="auto"/>
        <w:ind w:left="360" w:hanging="360"/>
      </w:pPr>
      <w:r>
        <w:rPr>
          <w:sz w:val="19"/>
        </w:rPr>
        <w:t xml:space="preserve">[2] COWGER W, KARAPETROVA A, LINCOLN C, et al. Open Specy 1.0: Automated (Hyper)spectroscopy for Microplastics[J]. Analytical Chemistry, 2025, 97(32): 17345-17356. </w:t>
      </w:r>
      <w:hyperlink r:id="rId15">
        <w:r>
          <w:rPr>
            <w:color w:val="1F4E79"/>
            <w:sz w:val="19"/>
          </w:rPr>
          <w:t>DOI: 10.1021/acs.analchem.5c00962</w:t>
        </w:r>
      </w:hyperlink>
    </w:p>
    <w:p w14:paraId="46253384" w14:textId="77777777" w:rsidR="00727F41" w:rsidRDefault="00485E89">
      <w:pPr>
        <w:spacing w:after="120" w:line="274" w:lineRule="auto"/>
        <w:ind w:left="360" w:hanging="360"/>
      </w:pPr>
      <w:r>
        <w:rPr>
          <w:sz w:val="19"/>
        </w:rPr>
        <w:t xml:space="preserve">[3] GUO C, PLEISS G, SUN Y, et al. On Calibration of Modern Neural Networks[C]. Proceedings of the 34th International Conference on Machine Learning, 2017, 70: 1321-1330. </w:t>
      </w:r>
      <w:hyperlink r:id="rId16">
        <w:r>
          <w:rPr>
            <w:color w:val="1F4E79"/>
            <w:sz w:val="19"/>
          </w:rPr>
          <w:t>原始来源</w:t>
        </w:r>
      </w:hyperlink>
    </w:p>
    <w:p w14:paraId="1C362BF1" w14:textId="77777777" w:rsidR="00727F41" w:rsidRDefault="00485E89">
      <w:pPr>
        <w:spacing w:after="120" w:line="274" w:lineRule="auto"/>
        <w:ind w:left="360" w:hanging="360"/>
      </w:pPr>
      <w:r>
        <w:rPr>
          <w:sz w:val="19"/>
        </w:rPr>
        <w:t xml:space="preserve">[4] OVADIA Y, FERTIG E, REN J, et al. Can You Trust Your Model’s Uncertainty? Evaluating Predictive Uncertainty Under Dataset Shift[C]. Advances in Neural Information Processing Systems, 2019, 32. </w:t>
      </w:r>
      <w:hyperlink r:id="rId17">
        <w:r>
          <w:rPr>
            <w:color w:val="1F4E79"/>
            <w:sz w:val="19"/>
          </w:rPr>
          <w:t>原始来源</w:t>
        </w:r>
      </w:hyperlink>
    </w:p>
    <w:p w14:paraId="65407FFC" w14:textId="77777777" w:rsidR="00727F41" w:rsidRDefault="00485E89">
      <w:pPr>
        <w:spacing w:after="120" w:line="274" w:lineRule="auto"/>
        <w:ind w:left="360" w:hanging="360"/>
      </w:pPr>
      <w:r>
        <w:rPr>
          <w:sz w:val="19"/>
        </w:rPr>
        <w:t xml:space="preserve">[5] CANTWELL H (ed.). The Fitness for Purpose of Analytical Methods: A Laboratory Guide to Method Validation and Related Topics[R]. Eurachem Guide, 3rd ed., 2025. </w:t>
      </w:r>
      <w:hyperlink r:id="rId18">
        <w:r>
          <w:rPr>
            <w:color w:val="1F4E79"/>
            <w:sz w:val="19"/>
          </w:rPr>
          <w:t>原始来源</w:t>
        </w:r>
      </w:hyperlink>
    </w:p>
    <w:p w14:paraId="767AD2AA" w14:textId="77777777" w:rsidR="00727F41" w:rsidRDefault="00485E89">
      <w:pPr>
        <w:spacing w:after="120" w:line="274" w:lineRule="auto"/>
        <w:ind w:left="360" w:hanging="360"/>
      </w:pPr>
      <w:r>
        <w:rPr>
          <w:sz w:val="19"/>
        </w:rPr>
        <w:t xml:space="preserve">[6] Joint Committee for Guides in Metrology. Evaluation of measurement data — Guide to the expression of uncertainty in measurement[R]. JCGM 100:2008, 2008. </w:t>
      </w:r>
      <w:hyperlink r:id="rId19">
        <w:r>
          <w:rPr>
            <w:color w:val="1F4E79"/>
            <w:sz w:val="19"/>
          </w:rPr>
          <w:t>DOI: 10.59161/JCGM100-2008E</w:t>
        </w:r>
      </w:hyperlink>
    </w:p>
    <w:p w14:paraId="60F0C814" w14:textId="77777777" w:rsidR="00727F41" w:rsidRDefault="00485E89">
      <w:pPr>
        <w:spacing w:after="120" w:line="274" w:lineRule="auto"/>
        <w:ind w:left="360" w:hanging="360"/>
      </w:pPr>
      <w:r>
        <w:rPr>
          <w:sz w:val="19"/>
        </w:rPr>
        <w:t xml:space="preserve">[7] Joint Committee for Guides in Metrology. Evaluation of measurement data — Supplement 1 to the Guide to the expression of uncertainty in measurement — Propagation of distributions using a Monte Carlo method[R]. JCGM 101:2008, 2008. </w:t>
      </w:r>
      <w:hyperlink r:id="rId20">
        <w:r>
          <w:rPr>
            <w:color w:val="1F4E79"/>
            <w:sz w:val="19"/>
          </w:rPr>
          <w:t>DOI: 10.59161/JCGM101-2008</w:t>
        </w:r>
      </w:hyperlink>
    </w:p>
    <w:p w14:paraId="10389F14" w14:textId="77777777" w:rsidR="00727F41" w:rsidRDefault="00485E89">
      <w:pPr>
        <w:spacing w:after="120" w:line="274" w:lineRule="auto"/>
        <w:ind w:left="360" w:hanging="360"/>
      </w:pPr>
      <w:r>
        <w:rPr>
          <w:sz w:val="19"/>
        </w:rPr>
        <w:t xml:space="preserve">[8] LAKSHMINARAYANAN B, PRITZEL A, BLUNDELL C. Simple and Scalable Predictive Uncertainty Estimation using Deep Ensembles[C]. Advances in Neural Information Processing Systems, 2017, 30. </w:t>
      </w:r>
      <w:hyperlink r:id="rId21">
        <w:r>
          <w:rPr>
            <w:color w:val="1F4E79"/>
            <w:sz w:val="19"/>
          </w:rPr>
          <w:t>原始来源</w:t>
        </w:r>
      </w:hyperlink>
    </w:p>
    <w:p w14:paraId="673B86BF" w14:textId="77777777" w:rsidR="00727F41" w:rsidRDefault="00485E89">
      <w:pPr>
        <w:spacing w:after="120" w:line="274" w:lineRule="auto"/>
        <w:ind w:left="360" w:hanging="360"/>
      </w:pPr>
      <w:r>
        <w:rPr>
          <w:sz w:val="19"/>
        </w:rPr>
        <w:t xml:space="preserve">[9] ANGELOPOULOS A N, BATES S. A Gentle Introduction to Conformal Prediction and Distribution-Free Uncertainty Quantification[EB/OL]. arXiv:2107.07511, 2022. Public draft v6 submitted 2022-12-07; manuscript dated 2022-12-08. </w:t>
      </w:r>
      <w:hyperlink r:id="rId22">
        <w:r>
          <w:rPr>
            <w:color w:val="1F4E79"/>
            <w:sz w:val="19"/>
          </w:rPr>
          <w:t>原始来源</w:t>
        </w:r>
      </w:hyperlink>
    </w:p>
    <w:p w14:paraId="71AD4E56" w14:textId="77777777" w:rsidR="00727F41" w:rsidRDefault="00485E89">
      <w:pPr>
        <w:spacing w:after="120" w:line="274" w:lineRule="auto"/>
        <w:ind w:left="360" w:hanging="360"/>
      </w:pPr>
      <w:r>
        <w:rPr>
          <w:sz w:val="19"/>
        </w:rPr>
        <w:t xml:space="preserve">[10] OLIVEIRA R I, ORENSTEIN P, RAMOS T, et al. Split Conformal Prediction and Non-Exchangeable Data[J]. Journal of Machine Learning Research, 2024, 25(225): 1-38. </w:t>
      </w:r>
      <w:hyperlink r:id="rId23">
        <w:r>
          <w:rPr>
            <w:color w:val="1F4E79"/>
            <w:sz w:val="19"/>
          </w:rPr>
          <w:t>原始来源</w:t>
        </w:r>
      </w:hyperlink>
    </w:p>
    <w:p w14:paraId="20A32A3C" w14:textId="77777777" w:rsidR="00727F41" w:rsidRDefault="00485E89">
      <w:pPr>
        <w:spacing w:after="120" w:line="274" w:lineRule="auto"/>
        <w:ind w:left="360" w:hanging="360"/>
      </w:pPr>
      <w:r>
        <w:rPr>
          <w:sz w:val="19"/>
        </w:rPr>
        <w:t xml:space="preserve">[11] JOVIC O. Conformal predictors in chemometric study of mid-infrared food adulteration: quantification of prediction uncertainty[J]. Food Chemistry, 2025, 492(Part 1): 145387. </w:t>
      </w:r>
      <w:hyperlink r:id="rId24">
        <w:r>
          <w:rPr>
            <w:color w:val="1F4E79"/>
            <w:sz w:val="19"/>
          </w:rPr>
          <w:t>DOI: 10.1016/j.foodchem.2025.145387</w:t>
        </w:r>
      </w:hyperlink>
    </w:p>
    <w:p w14:paraId="2E981657" w14:textId="77777777" w:rsidR="00727F41" w:rsidRDefault="00485E89">
      <w:pPr>
        <w:spacing w:after="120" w:line="274" w:lineRule="auto"/>
        <w:ind w:left="360" w:hanging="360"/>
      </w:pPr>
      <w:r>
        <w:rPr>
          <w:sz w:val="19"/>
        </w:rPr>
        <w:t xml:space="preserve">[12] XU Y, LIAW A, SHERIDAN R P, et al. Development and Evaluation of Conformal Prediction Methods for Quantitative Structure–Activity Relationship[J]. ACS Omega, 2024, 9(27): 29478-29490. </w:t>
      </w:r>
      <w:hyperlink r:id="rId25">
        <w:r>
          <w:rPr>
            <w:color w:val="1F4E79"/>
            <w:sz w:val="19"/>
          </w:rPr>
          <w:t>DOI: 10.1021/acsomega.4c02017</w:t>
        </w:r>
      </w:hyperlink>
    </w:p>
    <w:p w14:paraId="1B9DD994" w14:textId="77777777" w:rsidR="00727F41" w:rsidRDefault="00485E89">
      <w:pPr>
        <w:spacing w:after="120" w:line="274" w:lineRule="auto"/>
        <w:ind w:left="360" w:hanging="360"/>
      </w:pPr>
      <w:r>
        <w:rPr>
          <w:sz w:val="19"/>
        </w:rPr>
        <w:t xml:space="preserve">[13] HOSNI Z, GILLET V J, MARCHESE ROBINSON R L. Explicit Applicability Domain Calculations Can Help Determine When Uncertainty Estimates Are Less Reliable[J]. ACS Omega, 2026, 11(3): 4722-4743. </w:t>
      </w:r>
      <w:hyperlink r:id="rId26">
        <w:r>
          <w:rPr>
            <w:color w:val="1F4E79"/>
            <w:sz w:val="19"/>
          </w:rPr>
          <w:t>DOI: 10.1021/acsomega.5c11875</w:t>
        </w:r>
      </w:hyperlink>
    </w:p>
    <w:p w14:paraId="11B0D1AB" w14:textId="77777777" w:rsidR="00727F41" w:rsidRDefault="00485E89">
      <w:pPr>
        <w:spacing w:after="120" w:line="274" w:lineRule="auto"/>
        <w:ind w:left="360" w:hanging="360"/>
      </w:pPr>
      <w:r>
        <w:rPr>
          <w:sz w:val="19"/>
        </w:rPr>
        <w:t xml:space="preserve">[14] JACKSON J E, MUDHOLKAR G S. Control Procedures for Residuals Associated With Principal Component Analysis[J]. Technometrics, 1979, 21(3): 341-349. </w:t>
      </w:r>
      <w:hyperlink r:id="rId27">
        <w:r>
          <w:rPr>
            <w:color w:val="1F4E79"/>
            <w:sz w:val="19"/>
          </w:rPr>
          <w:t>DOI: 10.1080/00401706.1979.10489779</w:t>
        </w:r>
      </w:hyperlink>
    </w:p>
    <w:p w14:paraId="47684ADD" w14:textId="77777777" w:rsidR="00727F41" w:rsidRDefault="00485E89">
      <w:pPr>
        <w:spacing w:after="120" w:line="274" w:lineRule="auto"/>
        <w:ind w:left="360" w:hanging="360"/>
      </w:pPr>
      <w:r>
        <w:rPr>
          <w:sz w:val="19"/>
        </w:rPr>
        <w:t xml:space="preserve">[15] HENDRYCKS D, GIMPEL K. A Baseline for Detecting Misclassified and Out-of-Distribution Examples in Neural Networks[C]. International Conference on Learning Representations, 2017. </w:t>
      </w:r>
      <w:hyperlink r:id="rId28">
        <w:r>
          <w:rPr>
            <w:color w:val="1F4E79"/>
            <w:sz w:val="19"/>
          </w:rPr>
          <w:t>原始来源</w:t>
        </w:r>
      </w:hyperlink>
    </w:p>
    <w:p w14:paraId="070CCD8A" w14:textId="77777777" w:rsidR="00727F41" w:rsidRDefault="00485E89">
      <w:pPr>
        <w:spacing w:after="120" w:line="274" w:lineRule="auto"/>
        <w:ind w:left="360" w:hanging="360"/>
      </w:pPr>
      <w:r>
        <w:rPr>
          <w:sz w:val="19"/>
        </w:rPr>
        <w:t xml:space="preserve">[16] LEE K, LEE K, LEE H, et al. A Simple Unified Framework for Detecting Out-of-Distribution Samples and Adversarial Attacks[C]. Advances in Neural Information Processing Systems, 2018, 31. </w:t>
      </w:r>
      <w:hyperlink r:id="rId29">
        <w:r>
          <w:rPr>
            <w:color w:val="1F4E79"/>
            <w:sz w:val="19"/>
          </w:rPr>
          <w:t>原始来源</w:t>
        </w:r>
      </w:hyperlink>
    </w:p>
    <w:p w14:paraId="1135E507" w14:textId="77777777" w:rsidR="00727F41" w:rsidRDefault="00485E89">
      <w:pPr>
        <w:spacing w:after="120" w:line="274" w:lineRule="auto"/>
        <w:ind w:left="360" w:hanging="360"/>
      </w:pPr>
      <w:r>
        <w:rPr>
          <w:sz w:val="19"/>
        </w:rPr>
        <w:t xml:space="preserve">[17] LIU W, WANG X, OWENS J D, et al. Energy-based Out-of-distribution Detection[C]. Advances in Neural Information Processing Systems, 2020, 33. </w:t>
      </w:r>
      <w:hyperlink r:id="rId30">
        <w:r>
          <w:rPr>
            <w:color w:val="1F4E79"/>
            <w:sz w:val="19"/>
          </w:rPr>
          <w:t>原始来源</w:t>
        </w:r>
      </w:hyperlink>
    </w:p>
    <w:p w14:paraId="5B9FF25E" w14:textId="77777777" w:rsidR="00727F41" w:rsidRDefault="00485E89">
      <w:pPr>
        <w:spacing w:after="120" w:line="274" w:lineRule="auto"/>
        <w:ind w:left="360" w:hanging="360"/>
      </w:pPr>
      <w:r>
        <w:rPr>
          <w:sz w:val="19"/>
        </w:rPr>
        <w:t xml:space="preserve">[18] GEIFMAN Y, EL-YANIV R. Selective Classification for Deep Neural Networks[C]. Advances in Neural Information Processing Systems, 2017, 30. </w:t>
      </w:r>
      <w:hyperlink r:id="rId31">
        <w:r>
          <w:rPr>
            <w:color w:val="1F4E79"/>
            <w:sz w:val="19"/>
          </w:rPr>
          <w:t>原始来源</w:t>
        </w:r>
      </w:hyperlink>
    </w:p>
    <w:p w14:paraId="2221DC2A" w14:textId="77777777" w:rsidR="00727F41" w:rsidRDefault="00485E89">
      <w:pPr>
        <w:spacing w:after="120" w:line="274" w:lineRule="auto"/>
        <w:ind w:left="360" w:hanging="360"/>
      </w:pPr>
      <w:r>
        <w:rPr>
          <w:sz w:val="19"/>
        </w:rPr>
        <w:t xml:space="preserve">[19] PEARL J. Causality: Models, Reasoning, and Inference[M]. Cambridge University Press, 2nd ed., 2009. </w:t>
      </w:r>
      <w:hyperlink r:id="rId32">
        <w:r>
          <w:rPr>
            <w:color w:val="1F4E79"/>
            <w:sz w:val="19"/>
          </w:rPr>
          <w:t>DOI: 10.1017/CBO9780511803161</w:t>
        </w:r>
      </w:hyperlink>
    </w:p>
    <w:p w14:paraId="0807ECD6" w14:textId="77777777" w:rsidR="00727F41" w:rsidRDefault="00485E89">
      <w:pPr>
        <w:spacing w:after="120" w:line="274" w:lineRule="auto"/>
        <w:ind w:left="360" w:hanging="360"/>
      </w:pPr>
      <w:r>
        <w:rPr>
          <w:sz w:val="19"/>
        </w:rPr>
        <w:lastRenderedPageBreak/>
        <w:t xml:space="preserve">[20] KAPOOR S, NARAYANAN A. Leakage and the reproducibility crisis in machine-learning-based science[J]. Patterns, 2023, 4(9): 100804. </w:t>
      </w:r>
      <w:hyperlink r:id="rId33">
        <w:r>
          <w:rPr>
            <w:color w:val="1F4E79"/>
            <w:sz w:val="19"/>
          </w:rPr>
          <w:t>DOI: 10.1016/j.patter.2023.100804</w:t>
        </w:r>
      </w:hyperlink>
    </w:p>
    <w:p w14:paraId="33157C59" w14:textId="77777777" w:rsidR="00727F41" w:rsidRDefault="00485E89">
      <w:pPr>
        <w:spacing w:after="120" w:line="274" w:lineRule="auto"/>
        <w:ind w:left="360" w:hanging="360"/>
      </w:pPr>
      <w:r>
        <w:rPr>
          <w:sz w:val="19"/>
        </w:rPr>
        <w:t xml:space="preserve">[21] GUO S, POPP J, BOCKLITZ T. Chemometric analysis in Raman spectroscopy from experimental design to machine learning–based modeling[J]. Nature Protocols, 2021, 16: 5426-5459. </w:t>
      </w:r>
      <w:hyperlink r:id="rId34">
        <w:r>
          <w:rPr>
            <w:color w:val="1F4E79"/>
            <w:sz w:val="19"/>
          </w:rPr>
          <w:t>DOI: 10.1038/s41596-021-00620-3</w:t>
        </w:r>
      </w:hyperlink>
    </w:p>
    <w:p w14:paraId="5A503B6C" w14:textId="77777777" w:rsidR="00727F41" w:rsidRDefault="00485E89">
      <w:pPr>
        <w:spacing w:after="120" w:line="274" w:lineRule="auto"/>
        <w:ind w:left="360" w:hanging="360"/>
      </w:pPr>
      <w:r>
        <w:rPr>
          <w:sz w:val="19"/>
        </w:rPr>
        <w:t xml:space="preserve">[22] LILEK D, ZIMMERMANN D, STEININGER L, et al. Machine Learning of Raman Spectroscopic Data: Comparison of Different Validation Strategies[J]. Journal of Raman Spectroscopy, 2025, 56(9): 867-877. </w:t>
      </w:r>
      <w:hyperlink r:id="rId35">
        <w:r>
          <w:rPr>
            <w:color w:val="1F4E79"/>
            <w:sz w:val="19"/>
          </w:rPr>
          <w:t>DOI: 10.1002/jrs.6842</w:t>
        </w:r>
      </w:hyperlink>
    </w:p>
    <w:p w14:paraId="530476F3" w14:textId="77777777" w:rsidR="00727F41" w:rsidRDefault="00485E89">
      <w:pPr>
        <w:spacing w:after="120" w:line="274" w:lineRule="auto"/>
        <w:ind w:left="360" w:hanging="360"/>
      </w:pPr>
      <w:r>
        <w:rPr>
          <w:sz w:val="19"/>
        </w:rPr>
        <w:t xml:space="preserve">[23] ROBERTS D R, BAHN V, CIUTI S, et al. Cross‐validation strategies for data with temporal, spatial, hierarchical, or phylogenetic structure[J]. Ecography, 2017, 40(8): 913-929. </w:t>
      </w:r>
      <w:hyperlink r:id="rId36">
        <w:r>
          <w:rPr>
            <w:color w:val="1F4E79"/>
            <w:sz w:val="19"/>
          </w:rPr>
          <w:t>DOI: 10.1111/ecog.02881</w:t>
        </w:r>
      </w:hyperlink>
    </w:p>
    <w:p w14:paraId="6D542483" w14:textId="77777777" w:rsidR="00727F41" w:rsidRDefault="00485E89">
      <w:pPr>
        <w:spacing w:after="120" w:line="274" w:lineRule="auto"/>
        <w:ind w:left="360" w:hanging="360"/>
      </w:pPr>
      <w:r>
        <w:rPr>
          <w:sz w:val="19"/>
        </w:rPr>
        <w:t xml:space="preserve">[24] LUNDBERG S M, LEE S I. A Unified Approach to Interpreting Model Predictions[C]. Advances in Neural Information Processing Systems, 2017, 30. </w:t>
      </w:r>
      <w:hyperlink r:id="rId37">
        <w:r>
          <w:rPr>
            <w:color w:val="1F4E79"/>
            <w:sz w:val="19"/>
          </w:rPr>
          <w:t>原始来源</w:t>
        </w:r>
      </w:hyperlink>
    </w:p>
    <w:p w14:paraId="5009A66E" w14:textId="77777777" w:rsidR="00727F41" w:rsidRDefault="00485E89">
      <w:pPr>
        <w:spacing w:after="120" w:line="274" w:lineRule="auto"/>
        <w:ind w:left="360" w:hanging="360"/>
      </w:pPr>
      <w:r>
        <w:rPr>
          <w:sz w:val="19"/>
        </w:rPr>
        <w:t xml:space="preserve">[25] ADEBAYO J, GILMER J, MUELLY M, et al. Sanity Checks for Saliency Maps[C]. Advances in Neural Information Processing Systems, 2018, 31. </w:t>
      </w:r>
      <w:hyperlink r:id="rId38">
        <w:r>
          <w:rPr>
            <w:color w:val="1F4E79"/>
            <w:sz w:val="19"/>
          </w:rPr>
          <w:t>原始来源</w:t>
        </w:r>
      </w:hyperlink>
    </w:p>
    <w:p w14:paraId="1D42B915" w14:textId="77777777" w:rsidR="00727F41" w:rsidRDefault="00485E89">
      <w:pPr>
        <w:spacing w:after="120" w:line="274" w:lineRule="auto"/>
        <w:ind w:left="360" w:hanging="360"/>
      </w:pPr>
      <w:r>
        <w:rPr>
          <w:sz w:val="19"/>
        </w:rPr>
        <w:t xml:space="preserve">[26] YEH C K, HSIEH C Y, SUGGALA A S, et al. On the (In)fidelity and Sensitivity of Explanations[C]. Advances in Neural Information Processing Systems, 2019, 32. </w:t>
      </w:r>
      <w:hyperlink r:id="rId39">
        <w:r>
          <w:rPr>
            <w:color w:val="1F4E79"/>
            <w:sz w:val="19"/>
          </w:rPr>
          <w:t>原始来源</w:t>
        </w:r>
      </w:hyperlink>
    </w:p>
    <w:p w14:paraId="23C31C6B" w14:textId="77777777" w:rsidR="00727F41" w:rsidRDefault="00485E89">
      <w:pPr>
        <w:spacing w:after="120" w:line="274" w:lineRule="auto"/>
        <w:ind w:left="360" w:hanging="360"/>
      </w:pPr>
      <w:r>
        <w:rPr>
          <w:sz w:val="19"/>
        </w:rPr>
        <w:t xml:space="preserve">[27] JAIN S, WALLACE B C. Attention is not Explanation[C]. Proceedings of NAACL-HLT 2019, Volume 1 (Long and Short Papers), 2019: 3543-3556. </w:t>
      </w:r>
      <w:hyperlink r:id="rId40">
        <w:r>
          <w:rPr>
            <w:color w:val="1F4E79"/>
            <w:sz w:val="19"/>
          </w:rPr>
          <w:t>DOI: 10.18653/v1/N19-1357</w:t>
        </w:r>
      </w:hyperlink>
    </w:p>
    <w:p w14:paraId="0F25FAC8" w14:textId="77777777" w:rsidR="00727F41" w:rsidRDefault="00485E89">
      <w:pPr>
        <w:spacing w:after="120" w:line="274" w:lineRule="auto"/>
        <w:ind w:left="360" w:hanging="360"/>
      </w:pPr>
      <w:r>
        <w:rPr>
          <w:sz w:val="19"/>
        </w:rPr>
        <w:t xml:space="preserve">[28] WIEGREFFE S, PINTER Y. Attention is not not Explanation[C]. Proceedings of EMNLP-IJCNLP 2019, 2019: 11-20. </w:t>
      </w:r>
      <w:hyperlink r:id="rId41">
        <w:r>
          <w:rPr>
            <w:color w:val="1F4E79"/>
            <w:sz w:val="19"/>
          </w:rPr>
          <w:t>DOI: 10.18653/v1/D19-1002</w:t>
        </w:r>
      </w:hyperlink>
    </w:p>
    <w:p w14:paraId="3F129031" w14:textId="77777777" w:rsidR="00727F41" w:rsidRDefault="00485E89">
      <w:pPr>
        <w:spacing w:after="120" w:line="274" w:lineRule="auto"/>
        <w:ind w:left="360" w:hanging="360"/>
      </w:pPr>
      <w:r>
        <w:rPr>
          <w:sz w:val="19"/>
        </w:rPr>
        <w:t xml:space="preserve">[29] KARNIADAKIS G E, KEVREKIDIS I G, LU L, et al. Physics-informed machine learning[J]. Nature Reviews Physics, 2021, 3(6): 422-440. </w:t>
      </w:r>
      <w:hyperlink r:id="rId42">
        <w:r>
          <w:rPr>
            <w:color w:val="1F4E79"/>
            <w:sz w:val="19"/>
          </w:rPr>
          <w:t>DOI: 10.1038/s42254-021-00314-5</w:t>
        </w:r>
      </w:hyperlink>
    </w:p>
    <w:p w14:paraId="463270DB" w14:textId="77777777" w:rsidR="00727F41" w:rsidRDefault="00485E89">
      <w:pPr>
        <w:spacing w:after="120" w:line="274" w:lineRule="auto"/>
        <w:ind w:left="360" w:hanging="360"/>
      </w:pPr>
      <w:r>
        <w:rPr>
          <w:sz w:val="19"/>
        </w:rPr>
        <w:t xml:space="preserve">[30] RAISSI M, PERDIKARIS P, KARNIADAKIS G E. Physics-informed neural networks: A deep learning framework for solving forward and inverse problems involving nonlinear partial differential equations[J]. Journal of Computational Physics, 2019, 378: 686-707. </w:t>
      </w:r>
      <w:hyperlink r:id="rId43">
        <w:r>
          <w:rPr>
            <w:color w:val="1F4E79"/>
            <w:sz w:val="19"/>
          </w:rPr>
          <w:t>DOI: 10.1016/j.jcp.2018.10.045</w:t>
        </w:r>
      </w:hyperlink>
    </w:p>
    <w:p w14:paraId="18205F39" w14:textId="77777777" w:rsidR="00727F41" w:rsidRDefault="00485E89">
      <w:pPr>
        <w:spacing w:after="120" w:line="274" w:lineRule="auto"/>
        <w:ind w:left="360" w:hanging="360"/>
      </w:pPr>
      <w:r>
        <w:rPr>
          <w:sz w:val="19"/>
        </w:rPr>
        <w:t xml:space="preserve">[31] KAPOOR S, CANTRELL E M, PENG K, et al. REFORMS: Consensus-based Recommendations for Machine-learning-based Science[J]. Science Advances, 2024, 10(18): eadk3452. </w:t>
      </w:r>
      <w:hyperlink r:id="rId44">
        <w:r>
          <w:rPr>
            <w:color w:val="1F4E79"/>
            <w:sz w:val="19"/>
          </w:rPr>
          <w:t>DOI: 10.1126/sciadv.adk3452</w:t>
        </w:r>
      </w:hyperlink>
    </w:p>
    <w:p w14:paraId="2CF1C322" w14:textId="77777777" w:rsidR="00727F41" w:rsidRDefault="00485E89">
      <w:pPr>
        <w:spacing w:after="120" w:line="274" w:lineRule="auto"/>
        <w:ind w:left="360" w:hanging="360"/>
      </w:pPr>
      <w:r>
        <w:rPr>
          <w:sz w:val="19"/>
        </w:rPr>
        <w:t xml:space="preserve">[32] CELESTIAN A. Raman Databases for RamanLab software (v1)[D]. Zenodo, 2025. [2026-10-29]. </w:t>
      </w:r>
      <w:hyperlink r:id="rId45">
        <w:r>
          <w:rPr>
            <w:color w:val="1F4E79"/>
            <w:sz w:val="19"/>
          </w:rPr>
          <w:t>DOI: 10.5281/zenodo.15717961</w:t>
        </w:r>
      </w:hyperlink>
    </w:p>
    <w:p w14:paraId="51D7B662" w14:textId="77777777" w:rsidR="00727F41" w:rsidRDefault="00485E89">
      <w:pPr>
        <w:spacing w:after="120" w:line="274" w:lineRule="auto"/>
        <w:ind w:left="360" w:hanging="360"/>
      </w:pPr>
      <w:r>
        <w:rPr>
          <w:sz w:val="19"/>
        </w:rPr>
        <w:t xml:space="preserve">[33] LAFUENTE B, DOWNS R T, YANG H, et al. The power of databases: The RRUFF project[M]// Highlights in Mineralogical Crystallography. Walter de Gruyter, 2016: 1-29. </w:t>
      </w:r>
      <w:hyperlink r:id="rId46">
        <w:r>
          <w:rPr>
            <w:color w:val="1F4E79"/>
            <w:sz w:val="19"/>
          </w:rPr>
          <w:t>DOI: 10.1515/9783110417104-003</w:t>
        </w:r>
      </w:hyperlink>
    </w:p>
    <w:p w14:paraId="5B7CAEEF" w14:textId="77777777" w:rsidR="00727F41" w:rsidRDefault="00485E89">
      <w:pPr>
        <w:spacing w:after="120" w:line="274" w:lineRule="auto"/>
        <w:ind w:left="360" w:hanging="360"/>
      </w:pPr>
      <w:r>
        <w:rPr>
          <w:sz w:val="19"/>
        </w:rPr>
        <w:t xml:space="preserve">[34] CSIRO. Gaspéite: CSIRO Spectroscopy Database[EB/OL]. CSIRO, [n.d.]. [2026-10-29]. </w:t>
      </w:r>
      <w:hyperlink r:id="rId47">
        <w:r>
          <w:rPr>
            <w:color w:val="1F4E79"/>
            <w:sz w:val="19"/>
          </w:rPr>
          <w:t>原始来源</w:t>
        </w:r>
      </w:hyperlink>
    </w:p>
    <w:sectPr w:rsidR="00727F41" w:rsidSect="00034616">
      <w:footerReference w:type="default" r:id="rId48"/>
      <w:pgSz w:w="12240" w:h="15840"/>
      <w:pgMar w:top="1152" w:right="1224" w:bottom="1080"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562F" w14:textId="77777777" w:rsidR="00485E89" w:rsidRDefault="00485E89">
      <w:pPr>
        <w:spacing w:after="0" w:line="240" w:lineRule="auto"/>
      </w:pPr>
      <w:r>
        <w:separator/>
      </w:r>
    </w:p>
  </w:endnote>
  <w:endnote w:type="continuationSeparator" w:id="0">
    <w:p w14:paraId="6F24820D" w14:textId="77777777" w:rsidR="00485E89" w:rsidRDefault="00485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2F92" w14:textId="77777777" w:rsidR="00727F41" w:rsidRDefault="00485E89">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AFE3D" w14:textId="77777777" w:rsidR="00485E89" w:rsidRDefault="00485E89">
      <w:pPr>
        <w:spacing w:after="0" w:line="240" w:lineRule="auto"/>
      </w:pPr>
      <w:r>
        <w:separator/>
      </w:r>
    </w:p>
  </w:footnote>
  <w:footnote w:type="continuationSeparator" w:id="0">
    <w:p w14:paraId="0890EE74" w14:textId="77777777" w:rsidR="00485E89" w:rsidRDefault="00485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4447726">
    <w:abstractNumId w:val="8"/>
  </w:num>
  <w:num w:numId="2" w16cid:durableId="795224312">
    <w:abstractNumId w:val="6"/>
  </w:num>
  <w:num w:numId="3" w16cid:durableId="1875803982">
    <w:abstractNumId w:val="5"/>
  </w:num>
  <w:num w:numId="4" w16cid:durableId="1439449758">
    <w:abstractNumId w:val="4"/>
  </w:num>
  <w:num w:numId="5" w16cid:durableId="464396789">
    <w:abstractNumId w:val="7"/>
  </w:num>
  <w:num w:numId="6" w16cid:durableId="14162224">
    <w:abstractNumId w:val="3"/>
  </w:num>
  <w:num w:numId="7" w16cid:durableId="554464901">
    <w:abstractNumId w:val="2"/>
  </w:num>
  <w:num w:numId="8" w16cid:durableId="1093280844">
    <w:abstractNumId w:val="1"/>
  </w:num>
  <w:num w:numId="9" w16cid:durableId="117487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F8E"/>
    <w:rsid w:val="00180141"/>
    <w:rsid w:val="0029639D"/>
    <w:rsid w:val="00326F90"/>
    <w:rsid w:val="00485E89"/>
    <w:rsid w:val="00490B76"/>
    <w:rsid w:val="00505250"/>
    <w:rsid w:val="0058633B"/>
    <w:rsid w:val="00607FD5"/>
    <w:rsid w:val="00727F41"/>
    <w:rsid w:val="00770D9A"/>
    <w:rsid w:val="008617D4"/>
    <w:rsid w:val="008B651B"/>
    <w:rsid w:val="00AA1D8D"/>
    <w:rsid w:val="00B47730"/>
    <w:rsid w:val="00C437A4"/>
    <w:rsid w:val="00CB0664"/>
    <w:rsid w:val="00E04351"/>
    <w:rsid w:val="00EB1D91"/>
    <w:rsid w:val="00FC3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1547BE05"/>
  <w14:defaultImageDpi w14:val="300"/>
  <w15:docId w15:val="{251C3ABB-5188-417C-B691-AE03E552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6" w:lineRule="auto"/>
      <w:ind w:firstLine="440"/>
    </w:pPr>
    <w:rPr>
      <w:rFonts w:ascii="Times New Roman" w:eastAsia="宋体" w:hAnsi="Times New Roman" w:cs="Times New Roman"/>
      <w:color w:val="000000"/>
    </w:rPr>
  </w:style>
  <w:style w:type="paragraph" w:styleId="1">
    <w:name w:val="heading 1"/>
    <w:basedOn w:val="a1"/>
    <w:next w:val="a1"/>
    <w:link w:val="10"/>
    <w:uiPriority w:val="9"/>
    <w:qFormat/>
    <w:rsid w:val="00FC693F"/>
    <w:pPr>
      <w:keepNext/>
      <w:keepLines/>
      <w:spacing w:before="240" w:after="120" w:line="288" w:lineRule="auto"/>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40" w:after="120" w:line="288" w:lineRule="auto"/>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76" w:lineRule="auto"/>
      <w:ind w:firstLine="0"/>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a1"/>
    <w:pPr>
      <w:tabs>
        <w:tab w:val="right" w:leader="dot" w:pos="9792"/>
      </w:tabs>
      <w:snapToGrid w:val="0"/>
      <w:spacing w:before="60" w:after="0" w:line="300" w:lineRule="exact"/>
      <w:ind w:firstLine="0"/>
    </w:pPr>
    <w:rPr>
      <w:b/>
    </w:rPr>
  </w:style>
  <w:style w:type="paragraph" w:customStyle="1" w:styleId="TOC21">
    <w:name w:val="TOC 21"/>
    <w:basedOn w:val="a1"/>
    <w:pPr>
      <w:tabs>
        <w:tab w:val="right" w:leader="dot" w:pos="9792"/>
      </w:tabs>
      <w:snapToGrid w:val="0"/>
      <w:spacing w:after="0" w:line="300" w:lineRule="exact"/>
      <w:ind w:left="360" w:firstLine="0"/>
    </w:pPr>
  </w:style>
  <w:style w:type="paragraph" w:customStyle="1" w:styleId="ContentsTitle">
    <w:name w:val="Contents Title"/>
    <w:basedOn w:val="a1"/>
    <w:pPr>
      <w:keepNext/>
      <w:tabs>
        <w:tab w:val="right" w:leader="dot" w:pos="9792"/>
      </w:tabs>
      <w:spacing w:before="120" w:after="180" w:line="250" w:lineRule="auto"/>
      <w:ind w:firstLine="0"/>
    </w:pPr>
    <w:rPr>
      <w:b/>
      <w:sz w:val="28"/>
    </w:rPr>
  </w:style>
  <w:style w:type="paragraph" w:styleId="TOC1">
    <w:name w:val="toc 1"/>
    <w:basedOn w:val="a1"/>
    <w:next w:val="a1"/>
    <w:uiPriority w:val="39"/>
    <w:unhideWhenUsed/>
    <w:rsid w:val="00485E89"/>
    <w:pPr>
      <w:tabs>
        <w:tab w:val="right" w:leader="dot" w:pos="9792"/>
      </w:tabs>
      <w:snapToGrid w:val="0"/>
      <w:spacing w:before="60" w:after="0" w:line="300" w:lineRule="exact"/>
      <w:ind w:firstLine="0"/>
    </w:pPr>
    <w:rPr>
      <w:b/>
    </w:rPr>
  </w:style>
  <w:style w:type="paragraph" w:styleId="TOC2">
    <w:name w:val="toc 2"/>
    <w:basedOn w:val="a1"/>
    <w:next w:val="a1"/>
    <w:uiPriority w:val="39"/>
    <w:unhideWhenUsed/>
    <w:rsid w:val="00485E89"/>
    <w:pPr>
      <w:tabs>
        <w:tab w:val="right" w:leader="dot" w:pos="9792"/>
      </w:tabs>
      <w:snapToGrid w:val="0"/>
      <w:spacing w:after="0" w:line="300" w:lineRule="exact"/>
      <w:ind w:left="360" w:firstLine="0"/>
    </w:pPr>
  </w:style>
  <w:style w:type="character" w:styleId="aff9">
    <w:name w:val="Hyperlink"/>
    <w:basedOn w:val="a2"/>
    <w:uiPriority w:val="99"/>
    <w:unhideWhenUsed/>
    <w:rsid w:val="00485E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eurachem.org/index.php/publications/guides/mv" TargetMode="External"/><Relationship Id="rId26" Type="http://schemas.openxmlformats.org/officeDocument/2006/relationships/hyperlink" Target="https://doi.org/10.1021/acsomega.5c11875" TargetMode="External"/><Relationship Id="rId39" Type="http://schemas.openxmlformats.org/officeDocument/2006/relationships/hyperlink" Target="https://proceedings.neurips.cc/paper/2019/file/a7471fdc77b3435276507cc8f2dc2569-Paper.pdf" TargetMode="External"/><Relationship Id="rId21" Type="http://schemas.openxmlformats.org/officeDocument/2006/relationships/hyperlink" Target="https://proceedings.neurips.cc/paper/2017/hash/9ef2ed4b7fd2c810847ffa5fa85bce38-Abstract.html" TargetMode="External"/><Relationship Id="rId34" Type="http://schemas.openxmlformats.org/officeDocument/2006/relationships/hyperlink" Target="https://doi.org/10.1038/s41596-021-00620-3" TargetMode="External"/><Relationship Id="rId42" Type="http://schemas.openxmlformats.org/officeDocument/2006/relationships/hyperlink" Target="https://doi.org/10.1038/s42254-021-00314-5" TargetMode="External"/><Relationship Id="rId47" Type="http://schemas.openxmlformats.org/officeDocument/2006/relationships/hyperlink" Target="https://spectroscopy.csiro.au/material/Gasp%C3%A9ite"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ceedings.mlr.press/v70/guo17a.html" TargetMode="External"/><Relationship Id="rId29" Type="http://schemas.openxmlformats.org/officeDocument/2006/relationships/hyperlink" Target="https://proceedings.neurips.cc/paper_files/paper/2018/hash/abdeb6f575ac5c6676b747bca8d09cc2-Abstract.html" TargetMode="External"/><Relationship Id="rId11" Type="http://schemas.openxmlformats.org/officeDocument/2006/relationships/image" Target="media/image4.png"/><Relationship Id="rId24" Type="http://schemas.openxmlformats.org/officeDocument/2006/relationships/hyperlink" Target="https://doi.org/10.1016/j.foodchem.2025.145387" TargetMode="External"/><Relationship Id="rId32" Type="http://schemas.openxmlformats.org/officeDocument/2006/relationships/hyperlink" Target="https://doi.org/10.1017/CBO9780511803161" TargetMode="External"/><Relationship Id="rId37" Type="http://schemas.openxmlformats.org/officeDocument/2006/relationships/hyperlink" Target="https://proceedings.neurips.cc/paper_files/paper/2017/hash/8a20a8621978632d76c43dfd28b67767-Abstract.html" TargetMode="External"/><Relationship Id="rId40" Type="http://schemas.openxmlformats.org/officeDocument/2006/relationships/hyperlink" Target="https://doi.org/10.18653/v1/N19-1357" TargetMode="External"/><Relationship Id="rId45" Type="http://schemas.openxmlformats.org/officeDocument/2006/relationships/hyperlink" Target="https://doi.org/10.5281/zenodo.15717961" TargetMode="External"/><Relationship Id="rId5" Type="http://schemas.openxmlformats.org/officeDocument/2006/relationships/webSettings" Target="webSettings.xml"/><Relationship Id="rId15" Type="http://schemas.openxmlformats.org/officeDocument/2006/relationships/hyperlink" Target="https://doi.org/10.1021/acs.analchem.5c00962" TargetMode="External"/><Relationship Id="rId23" Type="http://schemas.openxmlformats.org/officeDocument/2006/relationships/hyperlink" Target="https://www.jmlr.org/papers/v25/23-1553.html" TargetMode="External"/><Relationship Id="rId28" Type="http://schemas.openxmlformats.org/officeDocument/2006/relationships/hyperlink" Target="https://arxiv.org/abs/1610.02136" TargetMode="External"/><Relationship Id="rId36" Type="http://schemas.openxmlformats.org/officeDocument/2006/relationships/hyperlink" Target="https://doi.org/10.1111/ecog.02881"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59161/JCGM100-2008E" TargetMode="External"/><Relationship Id="rId31" Type="http://schemas.openxmlformats.org/officeDocument/2006/relationships/hyperlink" Target="https://proceedings.neurips.cc/paper_files/paper/2017/file/4a8423d5e91fda00bb7e46540e2b0cf1-Paper.pdf" TargetMode="External"/><Relationship Id="rId44" Type="http://schemas.openxmlformats.org/officeDocument/2006/relationships/hyperlink" Target="https://doi.org/10.1126/sciadv.adk34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38/s41467-019-12898-9" TargetMode="External"/><Relationship Id="rId22" Type="http://schemas.openxmlformats.org/officeDocument/2006/relationships/hyperlink" Target="https://arxiv.org/abs/2107.07511v6" TargetMode="External"/><Relationship Id="rId27" Type="http://schemas.openxmlformats.org/officeDocument/2006/relationships/hyperlink" Target="https://doi.org/10.1080/00401706.1979.10489779" TargetMode="External"/><Relationship Id="rId30" Type="http://schemas.openxmlformats.org/officeDocument/2006/relationships/hyperlink" Target="https://proceedings.neurips.cc/paper/2020/hash/f5496252609c43eb8a3d147ab9b9c006-Abstract.html" TargetMode="External"/><Relationship Id="rId35" Type="http://schemas.openxmlformats.org/officeDocument/2006/relationships/hyperlink" Target="https://doi.org/10.1002/jrs.6842" TargetMode="External"/><Relationship Id="rId43" Type="http://schemas.openxmlformats.org/officeDocument/2006/relationships/hyperlink" Target="https://doi.org/10.1016/j.jcp.2018.10.045"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apers.neurips.cc/paper_files/paper/2019/hash/8558cb408c1d76621371888657d2eb1d-Abstract.html" TargetMode="External"/><Relationship Id="rId25" Type="http://schemas.openxmlformats.org/officeDocument/2006/relationships/hyperlink" Target="https://doi.org/10.1021/acsomega.4c02017" TargetMode="External"/><Relationship Id="rId33" Type="http://schemas.openxmlformats.org/officeDocument/2006/relationships/hyperlink" Target="https://doi.org/10.1016/j.patter.2023.100804" TargetMode="External"/><Relationship Id="rId38" Type="http://schemas.openxmlformats.org/officeDocument/2006/relationships/hyperlink" Target="https://proceedings.neurips.cc/paper/2018/hash/294a8ed24b1ad22ec2e7efea049b8737-Abstract.html" TargetMode="External"/><Relationship Id="rId46" Type="http://schemas.openxmlformats.org/officeDocument/2006/relationships/hyperlink" Target="https://doi.org/10.1515/9783110417104-003" TargetMode="External"/><Relationship Id="rId20" Type="http://schemas.openxmlformats.org/officeDocument/2006/relationships/hyperlink" Target="https://doi.org/10.59161/JCGM101-2008" TargetMode="External"/><Relationship Id="rId41" Type="http://schemas.openxmlformats.org/officeDocument/2006/relationships/hyperlink" Target="https://doi.org/10.18653/v1/D19-100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9728</Words>
  <Characters>14497</Characters>
  <Application>Microsoft Office Word</Application>
  <DocSecurity>0</DocSecurity>
  <Lines>439</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分析化学中的可信智能分析 不确定度 适用域与因果机制</dc:title>
  <dc:subject>第十五章课程论文正文初稿</dc:subject>
  <dc:creator>刘翔 尹伟旭 王怡可 王磊 周裕东 曾凡琦</dc:creator>
  <cp:keywords/>
  <dc:description/>
  <cp:lastModifiedBy>翔 刘</cp:lastModifiedBy>
  <cp:revision>6</cp:revision>
  <dcterms:created xsi:type="dcterms:W3CDTF">2013-12-23T23:15:00Z</dcterms:created>
  <dcterms:modified xsi:type="dcterms:W3CDTF">2026-10-29T07:33:00Z</dcterms:modified>
  <cp:category/>
</cp:coreProperties>
</file>