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bookmarkStart w:id="34" w:name="round-003-reviewer-response-addendum"/>
    <w:p>
      <w:pPr>
        <w:pStyle w:val="Heading1"/>
      </w:pPr>
      <w:r>
        <w:t xml:space="preserve">Round 003 reviewer-response addendum</w:t>
      </w:r>
    </w:p>
    <w:p>
      <w:pPr>
        <w:pStyle w:val="FirstParagraph"/>
      </w:pPr>
      <w:r>
        <w:t xml:space="preserve">R1.1 — Full-path quality diagnostic. We now execute the complete native base pipeline on the two previously displayed failure objects, without GeoTex, at 50 and 75 steps. All four calls complete; actual UNet calls and two-member CFG batches are logged, and paired initial latents match. Source correspondence is checked against the previous conditioning hashes. Complete grids retain visible imperfections, while their front-looking views preserve reference colors/details that were lost in the controlled generator.</w:t>
      </w:r>
    </w:p>
    <w:p>
      <w:pPr>
        <w:pStyle w:val="BodyText"/>
      </w:pPr>
      <w:r>
        <w:t xml:space="preserve">The native API requires RGBA, and its preprocessing mutates some bright foreground pixels. The initial RGB attempt failed before generation and is retained. The valid rerun uses the same original single-reference RGBA sources. The native pipeline differs in resolution, feature computation, guidance and scheduler; camera equivalence is unverified. We therefore do not compute cross-protocol paired GT metrics or attribute the difference to one cause. These are two seen failure cases, not independent quality confirmation or complete GeoTex deployment validation.</w:t>
      </w:r>
    </w:p>
    <w:p>
      <w:pPr>
        <w:pStyle w:val="BodyText"/>
      </w:pPr>
      <w:r>
        <w:t xml:space="preserve">R1.4 — Evidence scope. No inferential tests are added for the qualitative diagnostic. All prior paired results and their multiplicity families remain unchanged. The inverse image-scaling formulas are algebraically equivalent, so we do not claim a decoding bug from their names.</w:t>
      </w:r>
    </w:p>
    <w:p>
      <w:pPr>
        <w:pStyle w:val="BodyText"/>
      </w:pPr>
      <w:r>
        <w:t xml:space="preserve">R2.1 — Priority and limitation. The low-cost diagnostic changes the next action: separate the sampling differences before attempting another schedule or developing a new algorithm. It does not establish algorithmic novelty, overall material fidelity or a calibrated acceptance probability.</w:t>
      </w:r>
    </w:p>
    <w:bookmarkEnd w:id="34"/>
    <w:bookmarkStart w:id="35" w:name="round-004-reviewer-response-addendum"/>
    <w:p>
      <w:pPr>
        <w:pStyle w:val="Heading1"/>
      </w:pPr>
      <w:r>
        <w:t xml:space="preserve">Round 004 reviewer-response addendum</w:t>
      </w:r>
    </w:p>
    <w:p>
      <w:pPr>
        <w:pStyle w:val="FirstParagraph"/>
      </w:pPr>
      <w:r>
        <w:t xml:space="preserve">R1.1 — Controlled failure diagnosis. We hold 256-pixel views, 50-step Euler sampling, conditioning RGB and the seed policy fixed, crossing cached/online global image features with conditional-only/sequential CFG2. All eight calls complete. The cached conditional-only control reproduces both previous No Adapter outputs bitwise; positive reference-noise RNG trajectories match across arms. Online-to-cache feature cosines are 0.863 and 0.899, but neither online features nor guided prediction restores the source appearance. Guided dark outputs contain fewer colored patterns, not a validated quality improvement. Every grid is retained in S22.</w:t>
      </w:r>
    </w:p>
    <w:p>
      <w:pPr>
        <w:pStyle w:val="BodyText"/>
      </w:pPr>
      <w:r>
        <w:t xml:space="preserve">R1.4 — Intervention scope. CFG2 uses the standard 2εc−εu formula through sequential batch-one calls, with independent negative-branch randomness that leaves positive reference-noise states unchanged. This is a controlled diagnostic, not pixel-equivalence to the native batched API, independent confirmation, or a general fidelity benchmark. No new inferential family is created; previous paired results remain unchanged.</w:t>
      </w:r>
    </w:p>
    <w:p>
      <w:pPr>
        <w:pStyle w:val="BodyText"/>
      </w:pPr>
      <w:r>
        <w:t xml:space="preserve">R2.1 — Priority. This round reports a useful negative diagnostic, not a new algorithm. It narrows the next test to resolution and other full-path differences; repeated feature replacement or further schedule search has lower priority. Earlier C1/B2 failures remain in the evidence record. Novelty and broad application quality remain unresolved; no 90% acceptance claim is made.</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2026-10-10T13:10:38Z</dcterms:created>
  <dcterms:modified xsi:type="dcterms:W3CDTF">2026-10-10T13:10:38Z</dcterms:modified>
</cp:coreProperties>
</file>

<file path=docProps/custom.xml><?xml version="1.0" encoding="utf-8"?>
<Properties xmlns="http://schemas.openxmlformats.org/officeDocument/2006/custom-properties" xmlns:vt="http://schemas.openxmlformats.org/officeDocument/2006/docPropsVTypes"/>
</file>