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4 now shows Reference, GFL, GFH, and C3 for one C3–GFL endpoint-favorable case and one adverse case. Figure 5 preserves the fixed-scale comparison and adds a separate Generic Linear counterexample. Each panel pairs a full target-view context with one shared pixel ROI; the displayed RGB outputs are not independently adjusted. The full six-view, seven-condition comparison—including No Adapter, LLH, and Generic Linear—remains in Supplementary Figure S1. The selected panels illustrate outcomes and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rPr>
          <w:bCs/>
          <w:b/>
        </w:rPr>
        <w:t xml:space="preserve">Location.</w:t>
      </w:r>
      <w:r>
        <w:t xml:space="preserve"> </w:t>
      </w:r>
      <w:r>
        <w:t xml:space="preserve">Main manuscript: Figures 4–5 (pp. 11–12) and Limitations (pp. 8–9). Supplement: Figure S1 (p. 9) and Sections S6–S8 (pp. 8–9). The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w:t>
      </w:r>
    </w:p>
    <w:p>
      <w:pPr>
        <w:pStyle w:val="BodyText"/>
      </w:pPr>
      <w:r>
        <w:rPr>
          <w:bCs/>
          <w:b/>
        </w:rPr>
        <w:t xml:space="preserve">Location.</w:t>
      </w:r>
      <w:r>
        <w:t xml:space="preserve"> </w:t>
      </w:r>
      <w:r>
        <w:t xml:space="preserve">Main manuscript: Methods (pp. 4–5), Tables 3–4 (p. 7), stage analysis (p. 8), and Limitations (pp. 8–9). Supplement: S2 (p. 2), S5 (pp. 5–7), S8 (p. 8), and S9 (p. 9).</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4–5 (pp. 11–12), preference Table 5 (p. 7), and Limitations (pp. 8–9). Supplement: S2 (p. 2) and S7 (p. 8).</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7).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 10⁻⁴,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7) and Limitations (pp. 8–9). Supplement: Section S11 (pp. 10–11) and Table S13 (p. 11).</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We recognize the novelty concern and do not claim that the piecewise schedule is a general algorithmic contribution. TCAS is retained as a task-specific, training-free control on the existing GeoTex-Adapter residual in multi-view texture generation. We define the requested scale, wrapper-applied scale under native caps, and resulting residual magnitude separately. The matched Fresh C comparison provides a bounded result for C3 against GFL, while GFH and Generic Linear are stronger on all four displayed cohort means; the applied-scale sums also show why the C3−GFL estimate cannot be attributed to timing alone.</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and its contribution here is the tested intervention plus its paired image-space and execution-semantics analysis. The stage-placement analysis further shows that temporal L–L–H is favored over C3 on all six formal endpoints in a separate post-inspection follow-up, so we do not present C3 as a universal winner. We acknowledge that the remaining task-specific contribution may not meet the journal’s novelty threshold; that judgment is for the editor.</w:t>
      </w:r>
    </w:p>
    <w:p>
      <w:pPr>
        <w:pStyle w:val="BodyText"/>
      </w:pPr>
      <w:r>
        <w:rPr>
          <w:bCs/>
          <w:b/>
        </w:rPr>
        <w:t xml:space="preserve">Location.</w:t>
      </w:r>
      <w:r>
        <w:t xml:space="preserve"> </w:t>
      </w:r>
      <w:r>
        <w:t xml:space="preserve">Main manuscript: Introduction and Related Work (pp. 1–3), TCAS Method (pp. 3–5), Tables 3–4 (p. 7), stage analysis (p. 8), and Limitations (pp. 8–9). Supplement: S3 (p. 3), S4–S5 (pp. 5–7), and S9 (p. 9).</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and development subsection/Table 2/Figure 6 (p. 6). Supplement: historical development diagnostics in S10 (pp. 9–10).</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The separate MVDiffusion probe covered 75 objects through a different correspondence-aware interface and produced mixed or negative endpoint results. Because the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stage/applicability analysis (p. 8) and Limitations (pp. 8–9). Supplement: Section S5 (pp. 5–7).</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2026-10-09T06:13:41Z</dcterms:created>
  <dcterms:modified xsi:type="dcterms:W3CDTF">2026-10-09T06:13:41Z</dcterms:modified>
</cp:coreProperties>
</file>

<file path=docProps/custom.xml><?xml version="1.0" encoding="utf-8"?>
<Properties xmlns="http://schemas.openxmlformats.org/officeDocument/2006/custom-properties" xmlns:vt="http://schemas.openxmlformats.org/officeDocument/2006/docPropsVTypes"/>
</file>