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second-round-revision-draft"/>
    <w:p>
      <w:pPr>
        <w:pStyle w:val="Heading1"/>
      </w:pPr>
      <w:r>
        <w:t xml:space="preserve">Cover letter — second-round revision draft</w:t>
      </w:r>
    </w:p>
    <w:p>
      <w:pPr>
        <w:pStyle w:val="FirstParagraph"/>
      </w:pPr>
      <w:r>
        <w:t xml:space="preserve">Dear Editor,</w:t>
      </w:r>
    </w:p>
    <w:p>
      <w:pPr>
        <w:pStyle w:val="BodyText"/>
      </w:pPr>
      <w:r>
        <w:t xml:space="preserve">Please find the revised manuscript, Supplement, marked manuscript and point-by-point response for CAG-D-26-00962,</w:t>
      </w:r>
      <w:r>
        <w:t xml:space="preserve"> </w:t>
      </w:r>
      <w:r>
        <w:rPr>
          <w:iCs/>
          <w:i/>
        </w:rPr>
        <w:t xml:space="preserve">Timestep-Conditioned Adapter Scaling for Multi-view Diffusion Texture Generation</w:t>
      </w:r>
      <w:r>
        <w:t xml:space="preserve">.</w:t>
      </w:r>
    </w:p>
    <w:p>
      <w:pPr>
        <w:pStyle w:val="BodyText"/>
      </w:pPr>
      <w:r>
        <w:t xml:space="preserve">We retain TCAS and C3’s historical identity while withdrawing the independent CAI derivation, optimality and broad texture-fidelity claims. Strong fixed and linear controls and all relevant negative results now appear with the historical development evidence. The completed 300-object equal-applied-budget comparison favors fixed mean and late-high over C3; it measures total stage-allocation effects rather than a residual-dose-independent mechanism.</w:t>
      </w:r>
    </w:p>
    <w:p>
      <w:pPr>
        <w:pStyle w:val="BodyText"/>
      </w:pPr>
      <w:r>
        <w:t xml:space="preserve">Two new validations extend the graphics evidence. A complete fifty-object native MV-Adapter comparison, with native-camera targets and default-path identity checks, does not yield a separated Middle-high–Fixed Mean PSNR gain. A calibrated ten-object native-UV bake pilot yields a Late-high–Fixed Mean unseen-view LPIPS difference of −0.00265 (95% object-bootstrap CI [−0.00414,−0.00137]), favorable on all ten, while C3’s PSNR advantage over Fixed High does not repeat stably and its SSIM is lower. The bake set is smaller than planned because only ten inputs passed the frozen technical gates; we retain its pilot status. Historical N=20, corrected old five, old interface panels and the new cohorts are not pooled.</w:t>
      </w:r>
    </w:p>
    <w:p>
      <w:pPr>
        <w:pStyle w:val="BodyText"/>
      </w:pPr>
      <w:r>
        <w:t xml:space="preserve">The resulting contribution is a controlled task-specific study, a bounded named deployment result and cross-interface limits, rather than a new scheduling primitive or a universal C3 rule. We provide complete-object and failure displays, a real unseen-view video, calibrated GT-256 controls, paired statistics and executable source/statistics archives. The FAC training-provenance gap remains disclosed. AI-assisted preparation and conceptual Figure 1 artwork are documented; experimental displays derive from actual recorded outputs.</w:t>
      </w:r>
    </w:p>
    <w:p>
      <w:pPr>
        <w:pStyle w:val="BodyText"/>
      </w:pPr>
      <w:r>
        <w:t xml:space="preserve">Thank you for your consideration.</w:t>
      </w:r>
    </w:p>
    <w:p>
      <w:pPr>
        <w:pStyle w:val="BodyText"/>
      </w:pPr>
      <w:r>
        <w:t xml:space="preserve">Sincerely,</w:t>
      </w:r>
      <w:r>
        <w:t xml:space="preserve"> </w:t>
      </w:r>
      <w:r>
        <w:t xml:space="preserve">The Authors</w:t>
      </w:r>
    </w:p>
    <w:p>
      <w:pPr>
        <w:pStyle w:val="BodyText"/>
      </w:pPr>
      <w:r>
        <w:t xml:space="preserve">Author-review draft: author metadata, declarations and editorial attachments must be checked against the current submission record before use. No submission has been made.</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2026-10-10T12:02:43Z</dcterms:created>
  <dcterms:modified xsi:type="dcterms:W3CDTF">2026-10-10T12:02:43Z</dcterms:modified>
</cp:coreProperties>
</file>

<file path=docProps/custom.xml><?xml version="1.0" encoding="utf-8"?>
<Properties xmlns="http://schemas.openxmlformats.org/officeDocument/2006/custom-properties" xmlns:vt="http://schemas.openxmlformats.org/officeDocument/2006/docPropsVTypes"/>
</file>