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search-highlights-revision-draft"/>
    <w:p>
      <w:pPr>
        <w:pStyle w:val="Heading1"/>
      </w:pPr>
      <w:r>
        <w:t xml:space="preserve">Research highlights — revision draft</w:t>
      </w:r>
    </w:p>
    <w:p>
      <w:pPr>
        <w:numPr>
          <w:ilvl w:val="0"/>
          <w:numId w:val="1001"/>
        </w:numPr>
        <w:pStyle w:val="Compact"/>
      </w:pPr>
      <w:r>
        <w:t xml:space="preserve">Equal-budget tests on 300 objects reject a universally preferred middle window.</w:t>
      </w:r>
    </w:p>
    <w:p>
      <w:pPr>
        <w:numPr>
          <w:ilvl w:val="0"/>
          <w:numId w:val="1001"/>
        </w:numPr>
        <w:pStyle w:val="Compact"/>
      </w:pPr>
      <w:r>
        <w:t xml:space="preserve">Native MV-Adapter tests on 50 objects reveal endpoint-dependent responses.</w:t>
      </w:r>
    </w:p>
    <w:p>
      <w:pPr>
        <w:numPr>
          <w:ilvl w:val="0"/>
          <w:numId w:val="1001"/>
        </w:numPr>
        <w:pStyle w:val="Compact"/>
      </w:pPr>
      <w:r>
        <w:t xml:space="preserve">A calibrated ten-object bake pilot supports a small late-high LPIPS benefit.</w:t>
      </w:r>
    </w:p>
    <w:p>
      <w:pPr>
        <w:numPr>
          <w:ilvl w:val="0"/>
          <w:numId w:val="1001"/>
        </w:numPr>
        <w:pStyle w:val="Compact"/>
      </w:pPr>
      <w:r>
        <w:t xml:space="preserve">C3 counter-results and persistent appearance failures limit deployment claims.</w:t>
      </w:r>
    </w:p>
    <w:p>
      <w:pPr>
        <w:numPr>
          <w:ilvl w:val="0"/>
          <w:numId w:val="1001"/>
        </w:numPr>
        <w:pStyle w:val="Compact"/>
      </w:pPr>
      <w:r>
        <w:t xml:space="preserve">Object-paired records, calibration tests and analysis scripts are supplied.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2026-10-10T12:02:45Z</dcterms:created>
  <dcterms:modified xsi:type="dcterms:W3CDTF">2026-10-10T12:02:45Z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