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Uniform adapter scaling trades structure against texture in multi-view diffusion</w:t>
      </w:r>
    </w:p>
    <w:p>
      <w:pPr>
        <w:numPr>
          <w:ilvl w:val="0"/>
          <w:numId w:val="1001"/>
        </w:numPr>
        <w:pStyle w:val="Compact"/>
      </w:pPr>
      <w:r>
        <w:t xml:space="preserve">Stage utilities show early harm, mid-stage benefit, late neutrality of geometry</w:t>
      </w:r>
    </w:p>
    <w:p>
      <w:pPr>
        <w:numPr>
          <w:ilvl w:val="0"/>
          <w:numId w:val="1001"/>
        </w:numPr>
        <w:pStyle w:val="Compact"/>
      </w:pPr>
      <w:r>
        <w:t xml:space="preserve">TCAS is a training-free low-high-low schedule selected on a small probe set</w:t>
      </w:r>
    </w:p>
    <w:p>
      <w:pPr>
        <w:numPr>
          <w:ilvl w:val="0"/>
          <w:numId w:val="1001"/>
        </w:numPr>
        <w:pStyle w:val="Compact"/>
      </w:pPr>
      <w:r>
        <w:t xml:space="preserve">Transfer to 300 objects, no further search: +0.96 dB PSNR, more texture kept</w:t>
      </w:r>
    </w:p>
    <w:p>
      <w:pPr>
        <w:numPr>
          <w:ilvl w:val="0"/>
          <w:numId w:val="1001"/>
        </w:numPr>
        <w:pStyle w:val="Compact"/>
      </w:pPr>
      <w:r>
        <w:t xml:space="preserve">Blinded readers prefer TCAS overall; cluster bootstrap confirms significance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2026-09-06T02:57:55Z</dcterms:created>
  <dcterms:modified xsi:type="dcterms:W3CDTF">2026-09-06T02:57:55Z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