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one change with respect to an earlier auxiliary observation: an initial FAC comparison, conducted under our earlier protocol before the strictly paired and strictly disjoint training controls were adopted, had suggested a positive effect; the controlled re-examination now reported in Section 4.6 reverses that preliminary observation, and we therefore report only the controlled results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Adam with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 = −0.18 dB on the control subset, 95% CI crossing zero, validating the evaluation path), whereas every trained configuration degrades fidelity, with paired deficits ranging from −1.1 to −2.9 dB 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(Please see Section 4.1 of the revised manuscript.)</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validation objects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roles of the diffusion process itself. We explicitly acknowledge in Section 5 (Limitations) that the evidence remains within one architecture family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optimization (Adam,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2026-09-04T02:51:27Z</dcterms:created>
  <dcterms:modified xsi:type="dcterms:W3CDTF">2026-09-04T02:51:27Z</dcterms:modified>
</cp:coreProperties>
</file>

<file path=docProps/custom.xml><?xml version="1.0" encoding="utf-8"?>
<Properties xmlns="http://schemas.openxmlformats.org/officeDocument/2006/custom-properties" xmlns:vt="http://schemas.openxmlformats.org/officeDocument/2006/docPropsVTypes"/>
</file>