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would like to submit our manuscript entitled</w:t>
      </w:r>
      <w:r>
        <w:t xml:space="preserve"> </w:t>
      </w:r>
      <w:r>
        <w:t xml:space="preserve">“</w:t>
      </w:r>
      <w:r>
        <w:t xml:space="preserve">Timestep-Conditioned Adapter Scaling for Multi-view Diffusion Texture Generation</w:t>
      </w:r>
      <w:r>
        <w:t xml:space="preserve">”</w:t>
      </w:r>
      <w:r>
        <w:t xml:space="preserve"> </w:t>
      </w:r>
      <w:r>
        <w:t xml:space="preserve">for consideration for publication in</w:t>
      </w:r>
      <w:r>
        <w:t xml:space="preserve"> </w:t>
      </w:r>
      <w:r>
        <w:rPr>
          <w:iCs/>
          <w:i/>
        </w:rPr>
        <w:t xml:space="preserve">Computers &amp; Graphics</w:t>
      </w:r>
      <w:r>
        <w:t xml:space="preserve">, as part of the Virtual Special Issue CAG_SS_CAD/Graphics 2026.</w:t>
      </w:r>
      <w:r>
        <w:t xml:space="preserve"> </w:t>
      </w:r>
      <w:r>
        <w:rPr>
          <w:bCs/>
          <w:b/>
        </w:rPr>
        <w:t xml:space="preserve">This work is recommended by CAD/Graphics 2026</w:t>
      </w:r>
      <w:r>
        <w:t xml:space="preserve"> </w:t>
      </w:r>
      <w:r>
        <w:t xml:space="preserve">(upon revision, Paper 75). In accordance with the journal’s guidelines for extended versions of conference papers, a copy of the original conference paper (Paper 75) is attached as supplementary material, and the manuscript explicitly states the extensions relative to it.</w:t>
      </w:r>
    </w:p>
    <w:p>
      <w:pPr>
        <w:pStyle w:val="BodyText"/>
      </w:pPr>
      <w:r>
        <w:t xml:space="preserve">In this manuscript, we study a fine-grained inference-time control problem in geometry-controlled multi-view diffusion texturing: how strongly, and at which denoising stages, a geometric adapter should act. We first show that a uniform adapter scale is a blunt control — aggressive uniform scales improve structural metrics such as FG-SSIM but suppress the texture synthesis capability of the base model, causing surface flattening and loss of high-frequency detail. We then formalize the effect with a measurable Correction–Alignment–Interference (CAI) stage-utility model and derive Timestep-Conditioned Adapter Scaling (TCAS), a training-free low–high–low schedule that concentrates geometric correction in the middle denoising stage. The schedule C3 = (1.25, 2.50, 1.25) is selected using only a 24-object probe set and then evaluated unchanged, without further search, on the strictly disjoint 276-object holdout (pooled 300-object statistics also reported), where it matches the structure of aggressive scaling while improving PSNR by 0.96 dB, retaining substantially more texture, and receiving the highest overall preference (58.1%) in a blinded human study with cluster-aware significance analysis. To the best of our knowledge, no prior work analyzes the shape–texture trade-off of adapter scaling or derives a timestep-conditioned schedule from measurable stage utilities; the closest prior art (MVPainter, arXiv 2025; MV-Adapter, arXiv 2024; ControlNet, ICCV 2023; classifier-free guidance scheduling, NeurIPS Workshop 2022) is cited and compared explicitly in Sections 2 and 4.7 of the manuscript.</w:t>
      </w:r>
    </w:p>
    <w:p>
      <w:pPr>
        <w:pStyle w:val="BodyText"/>
      </w:pPr>
      <w:r>
        <w:t xml:space="preserve">This manuscript is original, has not been published previously, and is not under consideration elsewhere. All authors have approved the submission and declare no competing interests.</w:t>
      </w:r>
    </w:p>
    <w:p>
      <w:pPr>
        <w:pStyle w:val="BodyText"/>
      </w:pPr>
      <w:r>
        <w:t xml:space="preserve">Thank you very much for your attention and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The Authors</w:t>
      </w:r>
    </w:p>
    <w:p>
      <w:pPr>
        <w:pStyle w:val="BodyText"/>
      </w:pPr>
      <w:r>
        <w:t xml:space="preserve">(Per the journal’s double-anonymized review policy, this cover letter contains no author details; author names, affiliations, and the corresponding author’s contact information are provided on the separately uploaded title page and in Editorial Manager.)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2026-09-06T07:38:06Z</dcterms:created>
  <dcterms:modified xsi:type="dcterms:W3CDTF">2026-09-06T07:38:06Z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