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earch-highlights-1008-draft"/>
    <w:p>
      <w:pPr>
        <w:pStyle w:val="Heading1"/>
      </w:pPr>
      <w:r>
        <w:t xml:space="preserve">Research Highlights — 1008 draft</w:t>
      </w:r>
    </w:p>
    <w:p>
      <w:pPr>
        <w:numPr>
          <w:ilvl w:val="0"/>
          <w:numId w:val="1001"/>
        </w:numPr>
        <w:pStyle w:val="Compact"/>
      </w:pPr>
      <w:r>
        <w:t xml:space="preserve">TCAS applies a three-stage requested-scale profile to an existing geometry adapter.</w:t>
      </w:r>
    </w:p>
    <w:p>
      <w:pPr>
        <w:numPr>
          <w:ilvl w:val="0"/>
          <w:numId w:val="1001"/>
        </w:numPr>
        <w:pStyle w:val="Compact"/>
      </w:pPr>
      <w:r>
        <w:t xml:space="preserve">Fresh C compares matched rendered outputs for 300 held-out objects.</w:t>
      </w:r>
    </w:p>
    <w:p>
      <w:pPr>
        <w:numPr>
          <w:ilvl w:val="0"/>
          <w:numId w:val="1001"/>
        </w:numPr>
        <w:pStyle w:val="Compact"/>
      </w:pPr>
      <w:r>
        <w:t xml:space="preserve">C3 exceeds GFL by 0.522 dB mean FG-PSNR (95% CI 0.404–0.641).</w:t>
      </w:r>
    </w:p>
    <w:p>
      <w:pPr>
        <w:numPr>
          <w:ilvl w:val="0"/>
          <w:numId w:val="1001"/>
        </w:numPr>
        <w:pStyle w:val="Compact"/>
      </w:pPr>
      <w:r>
        <w:t xml:space="preserve">C3 and GFL differ in applied deep/middle scale sums; the result is not timing-only.</w:t>
      </w:r>
    </w:p>
    <w:p>
      <w:pPr>
        <w:numPr>
          <w:ilvl w:val="0"/>
          <w:numId w:val="1001"/>
        </w:numPr>
        <w:pStyle w:val="Compact"/>
      </w:pPr>
      <w:r>
        <w:t xml:space="preserve">Image-space results do not establish baked-texture, seam, or PBR quality.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2026-10-09T06:07:44Z</dcterms:created>
  <dcterms:modified xsi:type="dcterms:W3CDTF">2026-10-09T06:07:44Z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