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earch-highlights-1008-draft"/>
    <w:p>
      <w:pPr>
        <w:pStyle w:val="Heading1"/>
      </w:pPr>
      <w:r>
        <w:t xml:space="preserve">Research Highlights — 1008 draft</w:t>
      </w:r>
    </w:p>
    <w:p>
      <w:pPr>
        <w:numPr>
          <w:ilvl w:val="0"/>
          <w:numId w:val="1001"/>
        </w:numPr>
        <w:pStyle w:val="Compact"/>
      </w:pPr>
      <w:r>
        <w:t xml:space="preserve">TCAS applies a low–high–low scale profile to an existing geometry adapter.</w:t>
      </w:r>
    </w:p>
    <w:p>
      <w:pPr>
        <w:numPr>
          <w:ilvl w:val="0"/>
          <w:numId w:val="1001"/>
        </w:numPr>
        <w:pStyle w:val="Compact"/>
      </w:pPr>
      <w:r>
        <w:t xml:space="preserve">Fresh C compares matched outputs on 300 objects under one frozen checkpoint.</w:t>
      </w:r>
    </w:p>
    <w:p>
      <w:pPr>
        <w:numPr>
          <w:ilvl w:val="0"/>
          <w:numId w:val="1001"/>
        </w:numPr>
        <w:pStyle w:val="Compact"/>
      </w:pPr>
      <w:r>
        <w:t xml:space="preserve">C3 exceeds GFL by 0.522 dB mean FG-PSNR (95% CI 0.404–0.641).</w:t>
      </w:r>
    </w:p>
    <w:p>
      <w:pPr>
        <w:numPr>
          <w:ilvl w:val="0"/>
          <w:numId w:val="1001"/>
        </w:numPr>
        <w:pStyle w:val="Compact"/>
      </w:pPr>
      <w:r>
        <w:t xml:space="preserve">GFH and Generic Linear provide counter-results to a universal C3 claim.</w:t>
      </w:r>
    </w:p>
    <w:p>
      <w:pPr>
        <w:numPr>
          <w:ilvl w:val="0"/>
          <w:numId w:val="1001"/>
        </w:numPr>
        <w:pStyle w:val="Compact"/>
      </w:pPr>
      <w:r>
        <w:t xml:space="preserve">Image-space results do not establish 3D material quality or human preference.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2026-10-09T04:58:23Z</dcterms:created>
  <dcterms:modified xsi:type="dcterms:W3CDTF">2026-10-09T04:58:23Z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