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C3 and GFL also differ in their applied deep/middle scale sums, so the primary contrast does not isolate timing alone. In a separate post-inspection stage-placement follow-up, temporal L–L–H is favored over C3 on all six formal endpoints. These results do not establish baked-texture quality, human preference, or a universal schedule.</w:t>
      </w:r>
    </w:p>
    <w:p>
      <w:pPr>
        <w:pStyle w:val="BodyText"/>
      </w:pPr>
      <w:r>
        <w:t xml:space="preserve">We also report separate retrospective boundaries rather than treating them as new confirmation: a texture-complexity analysis with 9/10 corrected associations, and a failure-enriched 26-object color diagnosis in which reference-relative color error improves for GFL over No Adapter while visible hue shifts remain in two cases. Neither analysis establishes a causal selector or a validated color repair. The response and Supplement distinguish these cohorts and evidence levels from Fresh C.</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2026-10-10T05:50:59Z</dcterms:created>
  <dcterms:modified xsi:type="dcterms:W3CDTF">2026-10-10T05:50:59Z</dcterms:modified>
</cp:coreProperties>
</file>

<file path=docProps/custom.xml><?xml version="1.0" encoding="utf-8"?>
<Properties xmlns="http://schemas.openxmlformats.org/officeDocument/2006/custom-properties" xmlns:vt="http://schemas.openxmlformats.org/officeDocument/2006/docPropsVTypes"/>
</file>