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search-highlights-1008-draft"/>
    <w:p>
      <w:pPr>
        <w:pStyle w:val="Heading1"/>
      </w:pPr>
      <w:r>
        <w:t xml:space="preserve">Research Highlights — 1008 draft</w:t>
      </w:r>
    </w:p>
    <w:p>
      <w:pPr>
        <w:numPr>
          <w:ilvl w:val="0"/>
          <w:numId w:val="1001"/>
        </w:numPr>
        <w:pStyle w:val="Compact"/>
      </w:pPr>
      <w:r>
        <w:t xml:space="preserve">TCAS measures requested, applied, and residual scales in an existing geometry-adapter path.</w:t>
      </w:r>
    </w:p>
    <w:p>
      <w:pPr>
        <w:numPr>
          <w:ilvl w:val="0"/>
          <w:numId w:val="1001"/>
        </w:numPr>
        <w:pStyle w:val="Compact"/>
      </w:pPr>
      <w:r>
        <w:t xml:space="preserve">Fresh C compares paired image-space outputs for 300 held-out objects.</w:t>
      </w:r>
    </w:p>
    <w:p>
      <w:pPr>
        <w:numPr>
          <w:ilvl w:val="0"/>
          <w:numId w:val="1001"/>
        </w:numPr>
        <w:pStyle w:val="Compact"/>
      </w:pPr>
      <w:r>
        <w:t xml:space="preserve">C3 exceeds GFL by 0.522 dB FG-PSNR; GFH and Generic Linear remain strong comparators.</w:t>
      </w:r>
    </w:p>
    <w:p>
      <w:pPr>
        <w:numPr>
          <w:ilvl w:val="0"/>
          <w:numId w:val="1001"/>
        </w:numPr>
        <w:pStyle w:val="Compact"/>
      </w:pPr>
      <w:r>
        <w:t xml:space="preserve">Retrospective diagnostics show object- and endpoint-dependent texture and color responses.</w:t>
      </w:r>
    </w:p>
    <w:p>
      <w:pPr>
        <w:numPr>
          <w:ilvl w:val="0"/>
          <w:numId w:val="1001"/>
        </w:numPr>
        <w:pStyle w:val="Compact"/>
      </w:pPr>
      <w:r>
        <w:t xml:space="preserve">Image-space evidence does not establish baked-texture, seam, or PBR quality.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2026-10-10T05:51:02Z</dcterms:created>
  <dcterms:modified xsi:type="dcterms:W3CDTF">2026-10-10T05:51:02Z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