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measures requested, applied, and residual scales in an existing geometry-adapter path.</w:t>
      </w:r>
    </w:p>
    <w:p>
      <w:pPr>
        <w:numPr>
          <w:ilvl w:val="0"/>
          <w:numId w:val="1001"/>
        </w:numPr>
        <w:pStyle w:val="Compact"/>
      </w:pPr>
      <w:r>
        <w:t xml:space="preserve">Fresh C compares paired image-space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FG-PSNR; GFH and Generic Linear remain strong comparators.</w:t>
      </w:r>
    </w:p>
    <w:p>
      <w:pPr>
        <w:numPr>
          <w:ilvl w:val="0"/>
          <w:numId w:val="1001"/>
        </w:numPr>
        <w:pStyle w:val="Compact"/>
      </w:pPr>
      <w:r>
        <w:t xml:space="preserve">Retrospective diagnostics show object- and endpoint-dependent texture and color responses.</w:t>
      </w:r>
    </w:p>
    <w:p>
      <w:pPr>
        <w:numPr>
          <w:ilvl w:val="0"/>
          <w:numId w:val="1001"/>
        </w:numPr>
        <w:pStyle w:val="Compact"/>
      </w:pPr>
      <w:r>
        <w:t xml:space="preserve">Image-space evidence does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2026-10-09T15:13:38Z</dcterms:created>
  <dcterms:modified xsi:type="dcterms:W3CDTF">2026-10-09T15:13:38Z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