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t xml:space="preserve">A later four-object color-pathway development audit further distinguishes a control channel from a repair. Perturbing the global appearance embedding shifted chroma in the registered directions on all four selected objects. The Fresh B input-only audit found that stored embeddings matched neither compared source-conditioning reconstruction within 0.03 for 150/150 inputs, but did not establish that this discrepancy causes the artifacts. The C1 chroma anchor met its numeric gate (mean unseen-view ΔFG-CIEDE2000 −1.5602; 95% CI [−2.2621, −0.6299]) but failed locked visual review: one case showed no clear gain, while the other retained mismatch and showed a faint cyan/blue rim. B2’s selected raw-source embedding substitution also failed its numeric gate (mean object-level change +0.1729; 95% CI [−0.2044, +0.6810]; one of four improved) and showed no clear visual correction. No independent Fresh B repair validation was performed. These development findings identify a controllable appearance pathway and a plausible cache-alignment contributor, not a validated color fix or complete root cause.</w:t>
      </w:r>
    </w:p>
    <w:p>
      <w:pPr>
        <w:pStyle w:val="BodyText"/>
      </w:pPr>
      <w:r>
        <w:t xml:space="preserve">We also completed a separate, failure-enriched 26-object color diagnosis using paired No Adapter, GFL, and LLH outputs with six unique target views per object. GFL reduced mean reference-relative foreground CIEDE2000 versus No Adapter by 19.65 (95% paired object-bootstrap CI [−26.37, −13.25]; 24/26 objects), but the two original Figure 4 cases retained visible pink or purple hue shifts across all three conditions. LLH minus GFL increased mean CIEDE2000 by 3.58 (95% CI [+0.46, +6.71]) and reduced local gradient and high-frequency measures, consistent with detail suppression rather than a color correction. A decoded RGB snapshot showed the hue shift before baking; a ground-truth VAE round trip did not reproduce the same direction or magnitude in the selected case. Because this diagnostic subset was failure-enriched, it is not an independent population confirmation. The complete color-generation cause remains unidentified, and no repair is validated.</w:t>
      </w:r>
    </w:p>
    <w:p>
      <w:pPr>
        <w:pStyle w:val="BodyText"/>
      </w:pPr>
      <w:r>
        <w:rPr>
          <w:bCs/>
          <w:b/>
        </w:rPr>
        <w:t xml:space="preserve">Location.</w:t>
      </w:r>
      <w:r>
        <w:t xml:space="preserve"> </w:t>
      </w:r>
      <w:r>
        <w:t xml:space="preserve">Main manuscript: Figures 4–5 (pp. 11–12), stage/applicability analysis (p. 8), and Limitations (pp. 8–9). Supplement: Figure S1 (p. 1), Sections S6–S8 (pp. 9–10), and the paired color diagnosis in S13 (p. 13).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 Fresh B and A3b results are also retained as sensitivity evidence rather than preregistered confirmation because the lock text’s stated freeze time (2026-10-05 08:40 UTC) predates the earliest preserved commit containing that file (2026-10-06 00:52 UTC), so the retained history does not authenticate pre-run availability.</w:t>
      </w:r>
    </w:p>
    <w:p>
      <w:pPr>
        <w:pStyle w:val="BodyText"/>
      </w:pPr>
      <w:r>
        <w:rPr>
          <w:bCs/>
          <w:b/>
        </w:rPr>
        <w:t xml:space="preserve">Location.</w:t>
      </w:r>
      <w:r>
        <w:t xml:space="preserve"> </w:t>
      </w:r>
      <w:r>
        <w:t xml:space="preserve">Main manuscript: Methods (pp. 4–5), Tables 3–4 (p. 7), stage analysis (p. 8), and Limitations (pp. 8–9). Supplement: S2 (p. 2), S3 (pp. 3–5), S5 (pp. 6–8), S8 (p. 10), and S9 (p. 11).</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A separate retrospective analysis on FRESH_CONFIRM_300 found a 9/10 plus-one-corrected Holm association family between LLH−GFL image-space deltas and ground-truth descriptors; its Laplacian-variance strata range from a +4.14 dB FG-PSNR mean (92% LLH-favorable) in Q1 to slightly negative means in Q3 and Q4. The only non-rejecting test was FG-LPIPS versus foreground coverage (Holm-adjusted p=0.0508). This is a noncausal, post-outcome sensitivity result, not a fidelity measure, a selector, or evidence for C3.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S7 (p. 9), and the retrospective complexity analysis in S12 (pp. 12–13).</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w:t>
      </w:r>
      <w:r>
        <w:t xml:space="preserve"> </w:t>
      </w:r>
      <m:oMath>
        <m:sSup>
          <m:e>
            <m:r>
              <m:t>10</m:t>
            </m:r>
          </m:e>
          <m:sup>
            <m:r>
              <m:rPr>
                <m:sty m:val="p"/>
              </m:rPr>
              <m:t>−</m:t>
            </m:r>
            <m:r>
              <m:t>4</m:t>
            </m:r>
          </m:sup>
        </m:sSup>
      </m:oMath>
      <w:r>
        <w:t xml:space="preserve">,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and Table S13 (pp. 11–12).</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The contribution is a task-specific study of how geometry-residual strength can be controlled and measured inside a multi-view texturing system. TCAS makes the requested intervention explicit, while the execution analysis distinguishes requested scale, wrapper-applied scale under native caps, and the resulting residual magnitude. Fresh C then compares that intervention with fixed and scheduled alternatives under matched inputs and object-paired image-space endpoints. This combination provides reproducible evidence about what the control changes in this pipeline and about where interpretation fails: GFH and Generic Linear have more favorable means than C3 on all four displayed cohort endpoints, and C3/GFL differ in applied deep- and middle-layer scale sums, so their contrast does not isolate timing alone. We therefore retain TCAS as the named task-specific intervention and empirical comparison framework, without claiming that piecewise scheduling itself is a new general algorithm or that C3 is optimal.</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Its contribution is the operational specification of this intervention, the paired comparison of fixed and scheduled controls, and the resulting account of cap-, dose-, endpoint-, and object-dependent behavior in multi-view texture generation. The stage-placement analysis further shows that temporal L–L–H is favored over C3 on all six formal endpoints in a separate post-inspection follow-up. Fresh B’s lock chronology is not authenticated, so those temporal and A3b findings are presented as sensitivity evidence; the retrospective texture-complexity analysis likewise identifies boundaries rather than a schedule selector. These results support an empirical system contribution, not a universal schedule law or a claim that C3 is the overall winner.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(pp. 3–5), S4–S5 (pp. 6–8), S9 (p. 11), and the retrospective complexity boundary in S12 (pp. 12–13).</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A separate 76-object MV-Adapter layer-mapping study found mixed metric directions under a budget-neutral</w:t>
      </w:r>
      <w:r>
        <w:t xml:space="preserve"> </w:t>
      </w:r>
      <m:oMath>
        <m:sSup>
          <m:e>
            <m:r>
              <m:t>B</m:t>
            </m:r>
          </m:e>
          <m:sup>
            <m:r>
              <m:rPr>
                <m:sty m:val="p"/>
              </m:rPr>
              <m:t>′</m:t>
            </m:r>
          </m:sup>
        </m:sSup>
      </m:oMath>
      <w:r>
        <w:t xml:space="preserve"> </w:t>
      </w:r>
      <w:r>
        <w:t xml:space="preserve">partition; its M3 companion changed both grouping and total nominal residual budget (mean multiplier 0.8065) and was classified as retrospective because the protocol and results first appear in the same preserved commit. The two mapping analyses do not establish a general mapping law or generalize TCAS across backbones. The separate MVDiffusion probe covered 75 objects through a different correspondence-aware interface and produced mixed or negative endpoint results. Because these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6–8).</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2026-10-09T15:13:35Z</dcterms:created>
  <dcterms:modified xsi:type="dcterms:W3CDTF">2026-10-09T15:13:35Z</dcterms:modified>
</cp:coreProperties>
</file>

<file path=docProps/custom.xml><?xml version="1.0" encoding="utf-8"?>
<Properties xmlns="http://schemas.openxmlformats.org/officeDocument/2006/custom-properties" xmlns:vt="http://schemas.openxmlformats.org/officeDocument/2006/docPropsVTypes"/>
</file>