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matched 300-object equal-applied-budget stage comparison,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The second iteration also adds actual native-wrapper controls, a matched GT reference-gap context, and an explicit audit of sampling-protocol differences; details are given in the iteration addenda below. We also thank Reviewer 3 for the positive assessment; no additional technical change was requested.</w:t>
      </w:r>
    </w:p>
    <w:bookmarkStart w:id="25" w:name="reviewer-1"/>
    <w:p>
      <w:pPr>
        <w:pStyle w:val="Heading2"/>
      </w:pPr>
      <w:r>
        <w:t xml:space="preserve">Reviewer 1</w:t>
      </w:r>
    </w:p>
    <w:bookmarkStart w:id="20"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8 adds actual full-object source and unseen-bake views, including the retained Tire color failure. Supplementary Figure S2 shows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8, bake Table 9, Limitations. Supplement: Figures S1–S2, S6–S8, S13/Table S18, S18 and attribution/provenance in Table S1 and the new bake credit CSV.</w:t>
      </w:r>
    </w:p>
    <w:bookmarkEnd w:id="20"/>
    <w:bookmarkStart w:id="21"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3–4, stage placement, Limitations. Supplement: S2, S3, S4–S5, S8, and S9.</w:t>
      </w:r>
    </w:p>
    <w:bookmarkEnd w:id="21"/>
    <w:bookmarkStart w:id="22"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12; Limitations. Supplement: S2, S7, S12, S18.</w:t>
      </w:r>
    </w:p>
    <w:bookmarkEnd w:id="22"/>
    <w:bookmarkStart w:id="23"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Supplement: Section S2.</w:t>
      </w:r>
    </w:p>
    <w:bookmarkEnd w:id="23"/>
    <w:bookmarkStart w:id="24"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4"/>
    <w:bookmarkEnd w:id="25"/>
    <w:bookmarkStart w:id="29" w:name="reviewer-2"/>
    <w:p>
      <w:pPr>
        <w:pStyle w:val="Heading2"/>
      </w:pPr>
      <w:r>
        <w:t xml:space="preserve">Reviewer 2</w:t>
      </w:r>
    </w:p>
    <w:bookmarkStart w:id="26"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fully matched 300-object equal-applied-budget addendum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novelty sufficiency remains an editorial judgment.</w:t>
      </w:r>
    </w:p>
    <w:p>
      <w:pPr>
        <w:pStyle w:val="BodyText"/>
      </w:pPr>
      <w:r>
        <w:t xml:space="preserve">The new ten-object bake pilot adds a bounded deployment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limited named deployment candidate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6"/>
    <w:bookmarkStart w:id="27"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2, Figure 4. Supplement: S10/Table S15.</w:t>
      </w:r>
    </w:p>
    <w:bookmarkEnd w:id="27"/>
    <w:bookmarkStart w:id="28"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10–11, Limitations; Supplement S5, S16–S17 and the complete native fifty-object contrast table. The separate bake evidence is Table 9/Figure 8, Supplement S18.</w:t>
      </w:r>
    </w:p>
    <w:bookmarkEnd w:id="28"/>
    <w:bookmarkEnd w:id="29"/>
    <w:bookmarkStart w:id="30"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The second iteration adds native-unset and No Adapter controls on the same ten previously inspected bake objects, with a separate exploratory 15-test family; it does not alter the original seven-condition primary. The main Figure 1 conceptual artwork and manuscript/code assistance are disclosed; its research thumbnails are actual rights-cleared outputs,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0"/>
    <w:bookmarkEnd w:id="31"/>
    <w:bookmarkStart w:id="32" w:name="round-001-reviewer-response-addendum"/>
    <w:p>
      <w:pPr>
        <w:pStyle w:val="Heading1"/>
      </w:pPr>
      <w:r>
        <w:t xml:space="preserve">Round 001 reviewer-response addendum</w:t>
      </w:r>
    </w:p>
    <w:p>
      <w:pPr>
        <w:pStyle w:val="FirstParagraph"/>
      </w:pPr>
      <w:r>
        <w:t xml:space="preserve">R1.1 — Practical appearance. The main pilot table now includes the measured GT-256 reference bake, with the same source resolution, masks and baking settings. Its mean FG-LPIPS is 0.0590, compared with 0.1303 for Fixed Mean and 0.1277 for Late-high. The named Late-high gain is stable in direction but small in context: a post hoc ratio of paired means is 3.7% of the Fixed Mean–GT reference gap (pointwise object-bootstrap CI 2.3–5.3%). The empirical reference is not a theoretical bound or a material-quality threshold. The substantial appearance failure remains visible. We do not infer acceptable PBR fidelity from the separated LPIPS contrast.</w:t>
      </w:r>
    </w:p>
    <w:p>
      <w:pPr>
        <w:pStyle w:val="BodyText"/>
      </w:pPr>
      <w:r>
        <w:t xml:space="preserve">R1.4 — Uncertainty. The previous frozen primary and its interval are unchanged. The descriptive context resamples paired objects jointly; it is not added to the confirmatory test family. Leaving out each object keeps the mean difference negative, between −0.00294 and −0.00208, but does not supply new independent evidence or an equivalence test.</w:t>
      </w:r>
    </w:p>
    <w:p>
      <w:pPr>
        <w:pStyle w:val="BodyText"/>
      </w:pPr>
      <w:r>
        <w:t xml:space="preserve">R2.1 — Contribution. This round improves the interpretation and evidence completeness; it does not add a new scheduling algorithm or claim to resolve novelty. No acceptance probability is inferred.</w:t>
      </w:r>
    </w:p>
    <w:bookmarkEnd w:id="32"/>
    <w:bookmarkStart w:id="33" w:name="round-002-reviewer-response-addendum"/>
    <w:p>
      <w:pPr>
        <w:pStyle w:val="Heading1"/>
      </w:pPr>
      <w:r>
        <w:t xml:space="preserve">Round 002 reviewer-response addendum</w:t>
      </w:r>
    </w:p>
    <w:p>
      <w:pPr>
        <w:pStyle w:val="FirstParagraph"/>
      </w:pPr>
      <w:r>
        <w:t xml:space="preserve">R1.1 — Default controls and practical appearance. We added the actual unset-scale GeoTex wrapper residual and No Adapter on the same ten previously inspected pilot objects. The regenerated capped 1.0 control reproduces all ten previous RGB outputs bitwise; new controls preserve mesh bytes, camera/mask settings and raw atlas coverage. Repeated GT endpoints match exactly. The native residual branch has unseen-view FG-PSNR 11.13 dB, FG-LPIPS 0.1372, FG-SSIM 0.3376 and CIEDE2000 26.47. No Adapter has 5.92 dB, 0.1600, 0.3829 and 40.92, respectively. All valid failures remain displayed in complete six-view grids.</w:t>
      </w:r>
    </w:p>
    <w:p>
      <w:pPr>
        <w:pStyle w:val="BodyText"/>
      </w:pPr>
      <w:r>
        <w:t xml:space="preserve">These are controls inside the frozen 50-step sampling protocol, not a replay of the complete default pipeline. A read-only source audit establishes that the frozen loop uses 256-pixel views, cached image embeddings and conditional-only score predictions; the full pipeline defaults to 512-pixel views, online image embeddings and classifier-free guidance 2.0. The model validation call uses 75 steps and does not explicitly bind geometry features. We state this distinction in the methods and Supplement S20. It does not by itself identify the cause of poor appearance or validate a repair.</w:t>
      </w:r>
    </w:p>
    <w:p>
      <w:pPr>
        <w:pStyle w:val="BodyText"/>
      </w:pPr>
      <w:r>
        <w:t xml:space="preserve">R1.4 — Complete statistics. The added analyses are explicitly post hoc, with three named comparisons on five endpoints in one 15-test Holm family. Late-high–native residual PSNR is +1.79 dB (pointwise 95% object-bootstrap CI +0.46 to +3.06), and LPIPS is −0.00951 (−0.01772 to −0.00263); the respective adjusted p values are both 0.297. C3–native residual has +1.35 dB and−0.00699, also adjusted p 0.297. None of the ten schedule contrasts separates after correction; only No Adapter–native residual Edge-SSIM does (−0.218; adjusted p 0.0293). The older primary, cohort, strong-baseline results and GT reference context remain unchanged. Non-rejection is not equivalence.</w:t>
      </w:r>
    </w:p>
    <w:p>
      <w:pPr>
        <w:pStyle w:val="BodyText"/>
      </w:pPr>
      <w:r>
        <w:t xml:space="preserve">R2.1 — Contribution boundary and next decision. This round closes the capped/unset branch ambiguity within the tested sampling stack; it does not establish full-pipeline equivalence, a new algorithm or generally acceptable baked appearance. Complete default-path quality now has higher priority than another schedule search. Novelty remains a substantive limitation, and no acceptance probability is inferred.</w:t>
      </w:r>
    </w:p>
    <w:bookmarkEnd w:id="33"/>
    <w:bookmarkStart w:id="34" w:name="round-003-reviewer-response-addendum"/>
    <w:p>
      <w:pPr>
        <w:pStyle w:val="Heading1"/>
      </w:pPr>
      <w:r>
        <w:t xml:space="preserve">Round 003 reviewer-response addendum</w:t>
      </w:r>
    </w:p>
    <w:p>
      <w:pPr>
        <w:pStyle w:val="FirstParagraph"/>
      </w:pPr>
      <w:r>
        <w:t xml:space="preserve">R1.1 — Full-path quality diagnostic. We now execute the complete native base pipeline on the two previously displayed failure objects, without GeoTex, at 50 and 75 steps. All four calls complete; actual UNet calls and two-member CFG batches are logged, and paired initial latents match. Source correspondence is checked against the previous conditioning hashes. Complete grids retain visible imperfections, while their front-looking views preserve reference colors/details that were lost in the controlled generator.</w:t>
      </w:r>
    </w:p>
    <w:p>
      <w:pPr>
        <w:pStyle w:val="BodyText"/>
      </w:pPr>
      <w:r>
        <w:t xml:space="preserve">The native API requires RGBA, and its preprocessing mutates some bright foreground pixels. The initial RGB attempt failed before generation and is retained. The valid rerun uses the same original single-reference RGBA sources. The native pipeline differs in resolution, feature computation, guidance and scheduler; camera equivalence is unverified. We therefore do not compute cross-protocol paired GT metrics or attribute the difference to one cause. These are two seen failure cases, not independent quality confirmation or complete GeoTex deployment validation.</w:t>
      </w:r>
    </w:p>
    <w:p>
      <w:pPr>
        <w:pStyle w:val="BodyText"/>
      </w:pPr>
      <w:r>
        <w:t xml:space="preserve">R1.4 — Evidence scope. No inferential tests are added for the qualitative diagnostic. All prior paired results and their multiplicity families remain unchanged. The inverse image-scaling formulas are algebraically equivalent, so we do not claim a decoding bug from their names.</w:t>
      </w:r>
    </w:p>
    <w:p>
      <w:pPr>
        <w:pStyle w:val="BodyText"/>
      </w:pPr>
      <w:r>
        <w:t xml:space="preserve">R2.1 — Priority and limitation. The low-cost diagnostic changes the next action: separate the sampling differences before attempting another schedule or developing a new algorithm. It does not establish algorithmic novelty, overall material fidelity or a calibrated acceptance probability.</w:t>
      </w:r>
    </w:p>
    <w:bookmarkEnd w:id="34"/>
    <w:bookmarkStart w:id="35" w:name="round-004-reviewer-response-addendum"/>
    <w:p>
      <w:pPr>
        <w:pStyle w:val="Heading1"/>
      </w:pPr>
      <w:r>
        <w:t xml:space="preserve">Round 004 reviewer-response addendum</w:t>
      </w:r>
    </w:p>
    <w:p>
      <w:pPr>
        <w:pStyle w:val="FirstParagraph"/>
      </w:pPr>
      <w:r>
        <w:t xml:space="preserve">R1.1 — Controlled failure diagnosis. We hold 256-pixel views, 50-step Euler sampling, conditioning RGB and the seed policy fixed, crossing cached/online global image features with conditional-only/sequential CFG2. All eight calls complete. The cached conditional-only control reproduces both previous No Adapter outputs bitwise; positive reference-noise RNG trajectories match across arms. Online-to-cache feature cosines are 0.863 and 0.899, but neither online features nor guided prediction restores the source appearance. Guided dark outputs contain fewer colored patterns, not a validated quality improvement. Every grid is retained in S22.</w:t>
      </w:r>
    </w:p>
    <w:p>
      <w:pPr>
        <w:pStyle w:val="BodyText"/>
      </w:pPr>
      <w:r>
        <w:t xml:space="preserve">R1.4 — Intervention scope. CFG2 uses the standard 2εc−εu formula through sequential batch-one calls, with independent negative-branch randomness that leaves positive reference-noise states unchanged. This is a controlled diagnostic, not pixel-equivalence to the native batched API, independent confirmation, or a general fidelity benchmark. No new inferential family is created; previous paired results remain unchanged.</w:t>
      </w:r>
    </w:p>
    <w:p>
      <w:pPr>
        <w:pStyle w:val="BodyText"/>
      </w:pPr>
      <w:r>
        <w:t xml:space="preserve">R2.1 — Priority. This round reports a useful negative diagnostic, not a new algorithm. It narrows the next test to resolution and other full-path differences; repeated feature replacement or further schedule search has lower priority. Earlier C1/B2 failures remain in the evidence record. Novelty and broad application quality remain unresolved; no 90% acceptance claim is made.</w:t>
      </w:r>
    </w:p>
    <w:bookmarkEnd w:id="35"/>
    <w:bookmarkStart w:id="36" w:name="fifth-round-response-addendum"/>
    <w:p>
      <w:pPr>
        <w:pStyle w:val="Heading1"/>
      </w:pPr>
      <w:r>
        <w:t xml:space="preserve">Fifth-round response addendum</w:t>
      </w:r>
    </w:p>
    <w:p>
      <w:pPr>
        <w:pStyle w:val="FirstParagraph"/>
      </w:pPr>
      <w:r>
        <w:t xml:space="preserve">We retain the previous negative controls and add a target-resolution diagnostic on the same two seen cases. With online image features, 256-pixel reference encoding, frozen weights, training time IDs and 50-step Euler sampling fixed, we cross target-view resolution (256/512) with conditional-only/sequential CFG2 prediction. The 256 arms reproduce the previous online-feature RGB outputs bitwise; within each resolution initial latents and all fifty positive-branch RNG states match.</w:t>
      </w:r>
    </w:p>
    <w:p>
      <w:pPr>
        <w:pStyle w:val="BodyText"/>
      </w:pPr>
      <w:r>
        <w:t xml:space="preserve">The larger target grids restore six-position arrangements in these examples, while appearance defects and repeated views remain. Six positions do not verify camera identities or overall fidelity. Initial tensors differ in size across resolutions; only their seed policy is shared. No cross-camera GT scores, inferential tests or geometry-adapter deployment claim is made. S23 preserves all eight complete outputs, source identities and credits. The earlier 256-pixel comparisons remain valid only within their stated protocol; this diagnostic strengthens the need for native-path and camera calibration before extending deployment claims. Novelty and independent practical quality remain unresolved.</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2026-10-10T13:23:25Z</dcterms:created>
  <dcterms:modified xsi:type="dcterms:W3CDTF">2026-10-10T13:23:25Z</dcterms:modified>
</cp:coreProperties>
</file>

<file path=docProps/custom.xml><?xml version="1.0" encoding="utf-8"?>
<Properties xmlns="http://schemas.openxmlformats.org/officeDocument/2006/custom-properties" xmlns:vt="http://schemas.openxmlformats.org/officeDocument/2006/docPropsVTypes"/>
</file>