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Reviewer 1–3 comments below are the subsequent review of that revision for CAG-D-26-00962. The preserved export labels its reviewer headers</w:t>
      </w:r>
      <w:r>
        <w:t xml:space="preserve"> </w:t>
      </w:r>
      <w:r>
        <w:t xml:space="preserve">“</w:t>
      </w:r>
      <w:r>
        <w:t xml:space="preserve">Initial submission</w:t>
      </w:r>
      <w:r>
        <w:t xml:space="preserve">”</w:t>
      </w:r>
      <w:r>
        <w:t xml:space="preserve">; the author-confirmed round map identifies this packet as the second round. The headings quote the supplied review text. We retain relevant 01549 work,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We also thank Reviewer 3 for the positive assessment; no additional technical change was requested.</w:t>
      </w:r>
    </w:p>
    <w:bookmarkStart w:id="25" w:name="reviewer-1"/>
    <w:p>
      <w:pPr>
        <w:pStyle w:val="Heading2"/>
      </w:pPr>
      <w:r>
        <w:t xml:space="preserve">Reviewer 1</w:t>
      </w:r>
    </w:p>
    <w:bookmarkStart w:id="20" w:name="X71d3de3812bc82748938c80f1557a88738ccdec"/>
    <w:p>
      <w:pPr>
        <w:pStyle w:val="Heading3"/>
      </w:pPr>
      <w:r>
        <w:t xml:space="preserve">Comment 1 —</w:t>
      </w:r>
      <w:r>
        <w:t xml:space="preserve"> </w:t>
      </w:r>
      <w:r>
        <w:t xml:space="preserve">“</w:t>
      </w:r>
      <w:r>
        <w:t xml:space="preserve">Figures 4 and 6 show pronounced purple color shifts, repeated patterns, and substantial discrepancies from the reference appearance.</w:t>
      </w:r>
      <w:r>
        <w:t xml:space="preserve">”</w:t>
      </w:r>
    </w:p>
    <w:p>
      <w:pPr>
        <w:pStyle w:val="FirstParagraph"/>
      </w:pPr>
      <w:r>
        <w:rPr>
          <w:bCs/>
          <w:b/>
        </w:rPr>
        <w:t xml:space="preserve">Response.</w:t>
      </w:r>
      <w:r>
        <w:t xml:space="preserve"> </w:t>
      </w:r>
      <w:r>
        <w:t xml:space="preserve">We agree that the submitted panels did not establish appearance across complete objects or after texture projection. Figure 5 now pairs fixed-scale and Generic Linear comparisons with a shared target view and ROI; Figure 7 shows full-object context and the same ROI for favorable and adverse C3–GFL cases. Figure 6 is a rights-cleared, hash-traced Fresh C example that was not selected for color; it is not a reconstruction of the two unmapped legacy pink-shift cases. Supplementary Figure S1 retains the six-view, seven-condition panel.</w:t>
      </w:r>
    </w:p>
    <w:p>
      <w:pPr>
        <w:pStyle w:val="BodyText"/>
      </w:pPr>
      <w:r>
        <w:t xml:space="preserve">Fresh C’s No Adapter condition sets adapter scale to zero; it is not the unset-scale native-default path. The attempted Fresh C bake failed its native-input gate, so we report no valid Fresh C baked mesh, seam, or PBR result. We also could not verify reviewer-side access to the supplementary video.</w:t>
      </w:r>
    </w:p>
    <w:p>
      <w:pPr>
        <w:pStyle w:val="BodyText"/>
      </w:pPr>
      <w:r>
        <w:t xml:space="preserve">The paired, failure-enriched 26-object color diagnosis shows that GFL reduces mean foreground CIEDE2000 relative to No Adapter by 19.65 (95% CI [−26.37, −13.25]; 24/26 objects), while pink/purple shifts remain in two legacy cases. LLH−GFL increases CIEDE2000 by 3.58 and lowers local gradient and high-frequency measures, consistent with detail suppression rather than a color repair. The additional appearance-pathway and P0 checks do not identify the full cause or validate a repair. These selected cases do not estimate prevalence, texture fidelity, or baked 3D/PBR quality.</w:t>
      </w:r>
    </w:p>
    <w:p>
      <w:pPr>
        <w:pStyle w:val="BodyText"/>
      </w:pPr>
      <w:r>
        <w:rPr>
          <w:bCs/>
          <w:b/>
        </w:rPr>
        <w:t xml:space="preserve">Location.</w:t>
      </w:r>
      <w:r>
        <w:t xml:space="preserve"> </w:t>
      </w:r>
      <w:r>
        <w:t xml:space="preserve">Main manuscript: Figure 5 (p. 9), color results/Table 7 (p. 11), Figure 6 (p. 12), Figure 7 (p. 13), Limitations (p. 15). Supplement: Figure S1 (p. 12), S6–S8 (pp. 12–13), S13/Table S18 (p. 16), and figure attribution/provenance in Table S1 (pp. 1–2).</w:t>
      </w:r>
    </w:p>
    <w:bookmarkEnd w:id="20"/>
    <w:bookmarkStart w:id="21" w:name="X9579f23ada2fc1c5eeadf2f2b6602da9389ad0e"/>
    <w:p>
      <w:pPr>
        <w:pStyle w:val="Heading3"/>
      </w:pPr>
      <w:r>
        <w:t xml:space="preserve">Comment 2 —</w:t>
      </w:r>
      <w:r>
        <w:t xml:space="preserve"> </w:t>
      </w:r>
      <w:r>
        <w:t xml:space="preserve">“</w:t>
      </w:r>
      <w:r>
        <w:t xml:space="preserve">Please evaluate the main adapter and relevant baselines under the same held-out protocol.</w:t>
      </w:r>
      <w:r>
        <w:t xml:space="preserve">”</w:t>
      </w:r>
    </w:p>
    <w:p>
      <w:pPr>
        <w:pStyle w:val="FirstParagraph"/>
      </w:pPr>
      <w:r>
        <w:rPr>
          <w:bCs/>
          <w:b/>
        </w:rPr>
        <w:t xml:space="preserve">Response.</w:t>
      </w:r>
      <w:r>
        <w:t xml:space="preserve"> </w:t>
      </w:r>
      <w:r>
        <w:t xml:space="preserve">Fresh C evaluates the current adapter on 300 frozen object IDs disjoint from both the earlier 24-object schedule-development probe and the original 300-object evaluation. The primary run and same-cohort addendum share the checkpoint, runner, inputs, target views, metrics, and per-object seed policy; the integrity gates pass for 1,200/1,200 primary rows and 600/600 addendum rows. The registered C3−GFL FG-PSNR difference is +0.522352 dB (95% object-bootstrap CI [+0.404160, +0.640669]).</w:t>
      </w:r>
    </w:p>
    <w:p>
      <w:pPr>
        <w:pStyle w:val="BodyText"/>
      </w:pPr>
      <w:r>
        <w:t xml:space="preserve">We report the counter-results alongside it: GFH and Generic Linear have more favorable cohort means than C3 on all four displayed endpoints. C3 and GFL also differ in applied deep/middle scale sums (82.5 versus 62.5), so this is not a timing-only comparison. Fresh C is a controlled retraining, not the historical 01549 checkpoint or a numerical reproduction of its +0.96 dB estimate. The older strict-276 and Core-7 analyses remain separately labeled retrospective diagnostics; neither replaces this matched current-adapter comparison.</w:t>
      </w:r>
    </w:p>
    <w:p>
      <w:pPr>
        <w:pStyle w:val="BodyText"/>
      </w:pPr>
      <w:r>
        <w:rPr>
          <w:bCs/>
          <w:b/>
        </w:rPr>
        <w:t xml:space="preserve">Location.</w:t>
      </w:r>
      <w:r>
        <w:t xml:space="preserve"> </w:t>
      </w:r>
      <w:r>
        <w:t xml:space="preserve">Main manuscript: Methods (pp. 3–5), Tables 3–4 (p. 8), stage placement (pp. 10–11), Limitations (p. 15). Supplement: S2 (p. 2), S3 (pp. 3–5), S4–S5 (pp. 6–11), S8 (p. 13), and S9 (p. 13).</w:t>
      </w:r>
    </w:p>
    <w:bookmarkEnd w:id="21"/>
    <w:bookmarkStart w:id="22" w:name="X4d322be80ef9b1c95aab5d037e88b01867962d6"/>
    <w:p>
      <w:pPr>
        <w:pStyle w:val="Heading3"/>
      </w:pPr>
      <w:r>
        <w:t xml:space="preserve">Comment 3 —</w:t>
      </w:r>
      <w:r>
        <w:t xml:space="preserve"> </w:t>
      </w:r>
      <w:r>
        <w:t xml:space="preserve">“</w:t>
      </w:r>
      <w:r>
        <w:t xml:space="preserve">Please distinguish texture variation from texture fidelity: larger gradients or Laplacian variance can reflect unwanted artifacts as well as meaningful detail.</w:t>
      </w:r>
      <w:r>
        <w:t xml:space="preserve">”</w:t>
      </w:r>
    </w:p>
    <w:p>
      <w:pPr>
        <w:pStyle w:val="FirstParagraph"/>
      </w:pPr>
      <w:r>
        <w:rPr>
          <w:bCs/>
          <w:b/>
        </w:rPr>
        <w:t xml:space="preserve">Response.</w:t>
      </w:r>
      <w:r>
        <w:t xml:space="preserve"> </w:t>
      </w:r>
      <w:r>
        <w:t xml:space="preserve">We agree that larger gradients, RGB variation, or Laplacian variance do not establish faithful texture reproduction. The revision defines these as variation diagnostics and does not use them as fidelity endpoints. Fresh C reports image-space agreement, not validated texture fidelity. The 01549 3AFC study is retained only as a subjective preference result for its original conditions. The retrospective texture-complexity analysis in Supplement S12 is noncausal and is not used as a fidelity measure, schedule selector, or result for C3.</w:t>
      </w:r>
    </w:p>
    <w:p>
      <w:pPr>
        <w:pStyle w:val="BodyText"/>
      </w:pPr>
      <w:r>
        <w:rPr>
          <w:bCs/>
          <w:b/>
        </w:rPr>
        <w:t xml:space="preserve">Location.</w:t>
      </w:r>
      <w:r>
        <w:t xml:space="preserve"> </w:t>
      </w:r>
      <w:r>
        <w:t xml:space="preserve">Main: metrics (p. 3); Figures 4–7 (pp. 8–13); Table 9 (p. 14); Limitations (p. 15). Supplement: S2 (p. 2), S7 (p. 12), S12 (p. 15).</w:t>
      </w:r>
    </w:p>
    <w:bookmarkEnd w:id="22"/>
    <w:bookmarkStart w:id="23" w:name="X49e9eaafadace26d177f11492addd03cdd1a55e"/>
    <w:p>
      <w:pPr>
        <w:pStyle w:val="Heading3"/>
      </w:pPr>
      <w:r>
        <w:t xml:space="preserve">Comment 4 —</w:t>
      </w:r>
      <w:r>
        <w:t xml:space="preserve"> </w:t>
      </w:r>
      <w:r>
        <w:t xml:space="preserve">“</w:t>
      </w:r>
      <w:r>
        <w:t xml:space="preserve">A confidence interval crossing zero for the FG-SSIM difference does not establish equivalence or non-inferiority.</w:t>
      </w:r>
      <w:r>
        <w:t xml:space="preserve">”</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8). Supplement: Section S2 (p. 2).</w:t>
      </w:r>
    </w:p>
    <w:bookmarkEnd w:id="23"/>
    <w:bookmarkStart w:id="24" w:name="Xdf9fbfea26f9a34fe0cf96114350e28f287555a"/>
    <w:p>
      <w:pPr>
        <w:pStyle w:val="Heading3"/>
      </w:pPr>
      <w:r>
        <w:t xml:space="preserve">Comment 5 —</w:t>
      </w:r>
      <w:r>
        <w:t xml:space="preserve"> </w:t>
      </w:r>
      <w:r>
        <w:t xml:space="preserve">“</w:t>
      </w:r>
      <w:r>
        <w:t xml:space="preserve">It is still hard to reproduce the FAC experiments. The code is encouraged to be released.</w:t>
      </w:r>
      <w:r>
        <w:t xml:space="preserve">”</w:t>
      </w:r>
    </w:p>
    <w:p>
      <w:pPr>
        <w:pStyle w:val="FirstParagraph"/>
      </w:pPr>
      <w:r>
        <w:rPr>
          <w:bCs/>
          <w:b/>
        </w:rPr>
        <w:t xml:space="preserve">Response.</w:t>
      </w:r>
      <w:r>
        <w:t xml:space="preserve"> </w:t>
      </w:r>
      <w:r>
        <w:t xml:space="preserve">We retain the seven-configuration FAC negative re-examination and separate untrained control as results reported in the first-round 01549 revision, not as new 1008 experiments. The reported trained configurations were 1.10–2.94 dB below TCAS on FG-PSNR; the untrained 12-object control reported ΔFG-PSNR −0.18 dB (95% CI [−0.42, +0.05]). We disclose that the recovered configuration references a 1,200-object list rather than the reported 1,706-object pool, and that no run-bound manifest links the training seed, outputs, and runtime. We make no claim of a full replay or public code release.</w:t>
      </w:r>
    </w:p>
    <w:p>
      <w:pPr>
        <w:pStyle w:val="BodyText"/>
      </w:pPr>
      <w:r>
        <w:rPr>
          <w:bCs/>
          <w:b/>
        </w:rPr>
        <w:t xml:space="preserve">Location.</w:t>
      </w:r>
      <w:r>
        <w:t xml:space="preserve"> </w:t>
      </w:r>
      <w:r>
        <w:t xml:space="preserve">Main manuscript: FAC discussion (p. 14) and Limitations (p. 15). Supplement: S11/Table S16 (p. 14).</w:t>
      </w:r>
    </w:p>
    <w:bookmarkEnd w:id="24"/>
    <w:bookmarkEnd w:id="25"/>
    <w:bookmarkStart w:id="29" w:name="reviewer-2"/>
    <w:p>
      <w:pPr>
        <w:pStyle w:val="Heading2"/>
      </w:pPr>
      <w:r>
        <w:t xml:space="preserve">Reviewer 2</w:t>
      </w:r>
    </w:p>
    <w:bookmarkStart w:id="26" w:name="Xea7a62889ecc7ddd10b2e32061b36269efd78a9"/>
    <w:p>
      <w:pPr>
        <w:pStyle w:val="Heading3"/>
      </w:pPr>
      <w:r>
        <w:t xml:space="preserve">Concern 1 —</w:t>
      </w:r>
      <w:r>
        <w:t xml:space="preserve"> </w:t>
      </w:r>
      <w:r>
        <w:t xml:space="preserve">“</w:t>
      </w:r>
      <w:r>
        <w:t xml:space="preserve">The core methodological contribution remains quite limited.</w:t>
      </w:r>
      <w:r>
        <w:t xml:space="preserve">”</w:t>
      </w:r>
    </w:p>
    <w:p>
      <w:pPr>
        <w:pStyle w:val="FirstParagraph"/>
      </w:pPr>
      <w:r>
        <w:rPr>
          <w:bCs/>
          <w:b/>
        </w:rPr>
        <w:t xml:space="preserve">Response.</w:t>
      </w:r>
      <w:r>
        <w:t xml:space="preserve"> </w:t>
      </w:r>
      <w:r>
        <w:t xml:space="preserve">We agree that schedule selection for an existing adapter has limited algorithmic novelty. ControlNet/T2I-Adapter expose conditioning-strength controls; SSI already schedules layer and denoising axes and geometry-conditioned ControlNet strength. GeoTex in 01549 already supplied a fixed residual multiplier. TCAS reuses it for a three-stage request. Its bounded task-specific contribution is to measure requested values, native-cap applied values, activation-dependent residual corrections, and paired multi-view outcomes. It adds no learned branch or selector; scale values are not common doses across interfaces.</w:t>
      </w:r>
    </w:p>
    <w:p>
      <w:pPr>
        <w:pStyle w:val="BodyText"/>
      </w:pPr>
      <w:r>
        <w:t xml:space="preserve">Fresh C favors C3 over GFL on registered FG-PSNR, while GFH and Generic Linear have stronger means on all four endpoints; C3/GFL applied deep/middle sums also differ. Post-inspection strict-276 favors L–L–H, but its layer-wise corrections are unmatched. We claim neither C3 optimality nor a timing-only effect. Novelty sufficiency remains an editorial judgment.</w:t>
      </w:r>
    </w:p>
    <w:p>
      <w:pPr>
        <w:pStyle w:val="BodyText"/>
      </w:pPr>
      <w:r>
        <w:t xml:space="preserve">Because A3b’s support calculation and probe-24 calibration compare raw</w:t>
      </w:r>
      <w:r>
        <w:t xml:space="preserve"> </w:t>
      </w:r>
      <m:oMath>
        <m:sSub>
          <m:e>
            <m:r>
              <m:t>L</m:t>
            </m:r>
          </m:e>
          <m:sub>
            <m:r>
              <m:t>2</m:t>
            </m:r>
          </m:sub>
        </m:sSub>
      </m:oMath>
      <w:r>
        <w:t xml:space="preserve"> </w:t>
      </w:r>
      <w:r>
        <w:t xml:space="preserve">across feature maps of different spatial dimensions (with channel counts unlogged), we withdraw cross-layer support and equal-dose interpretations. Values remain tested settings; S4’s per-entry magnitudes are descriptive. A3b supports response heterogeneity under these settings, not a dose-independent effect.</w:t>
      </w:r>
    </w:p>
    <w:p>
      <w:pPr>
        <w:pStyle w:val="BodyText"/>
      </w:pPr>
      <w:r>
        <w:rPr>
          <w:bCs/>
          <w:b/>
        </w:rPr>
        <w:t xml:space="preserve">Location.</w:t>
      </w:r>
      <w:r>
        <w:t xml:space="preserve"> </w:t>
      </w:r>
      <w:r>
        <w:t xml:space="preserve">Main: Introduction/Related Work (pp. 1–2), Method (pp. 3–5), results (pp. 8, 11, 14), Limitations (p. 15). Supplement: S3–S5 (pp. 3–11), S9/S14 (p. 13), S12 (p. 15).</w:t>
      </w:r>
    </w:p>
    <w:bookmarkEnd w:id="26"/>
    <w:bookmarkStart w:id="27" w:name="Xa70102c18a1aefc82bc32fbf4cf92878abd13df"/>
    <w:p>
      <w:pPr>
        <w:pStyle w:val="Heading3"/>
      </w:pPr>
      <w:r>
        <w:t xml:space="preserve">Concern 2 —</w:t>
      </w:r>
      <w:r>
        <w:t xml:space="preserve"> </w:t>
      </w:r>
      <w:r>
        <w:t xml:space="preserve">“</w:t>
      </w:r>
      <w:r>
        <w:t xml:space="preserve">The CAI formulation appears to formalize an empirically selected schedule rather than derive it independently.</w:t>
      </w:r>
      <w:r>
        <w:t xml:space="preserve">”</w:t>
      </w:r>
    </w:p>
    <w:p>
      <w:pPr>
        <w:pStyle w:val="FirstParagraph"/>
      </w:pPr>
      <w:r>
        <w:rPr>
          <w:bCs/>
          <w:b/>
        </w:rPr>
        <w:t xml:space="preserve">Response.</w:t>
      </w:r>
      <w:r>
        <w:t xml:space="preserve"> </w:t>
      </w:r>
      <w:r>
        <w:t xml:space="preserve">We agree that the CAI proposition and proof formalized an empirically selected profile rather than deriving it independently. We remove the selector, proposition, proof, and optimality claim. TCAS’s residual-injection equation, three-stage profile, C3 definition, and 24-object development record remain, labeled as historical development evidence rather than a verified ranking or unique optimum.</w:t>
      </w:r>
    </w:p>
    <w:p>
      <w:pPr>
        <w:pStyle w:val="BodyText"/>
      </w:pPr>
      <w:r>
        <w:rPr>
          <w:bCs/>
          <w:b/>
        </w:rPr>
        <w:t xml:space="preserve">Location.</w:t>
      </w:r>
      <w:r>
        <w:t xml:space="preserve"> </w:t>
      </w:r>
      <w:r>
        <w:t xml:space="preserve">Main manuscript: TCAS Method (pp. 3–5), development Table 2 (p. 7), Figure 4 (p. 8). Supplement: S10/Table S15 (p. 14).</w:t>
      </w:r>
    </w:p>
    <w:bookmarkEnd w:id="27"/>
    <w:bookmarkStart w:id="28" w:name="X1ff67f0b82e5419f44298031ca50faa6869f0c1"/>
    <w:p>
      <w:pPr>
        <w:pStyle w:val="Heading3"/>
      </w:pPr>
      <w:r>
        <w:t xml:space="preserve">Concern 3 —</w:t>
      </w:r>
      <w:r>
        <w:t xml:space="preserve"> </w:t>
      </w:r>
      <w:r>
        <w:t xml:space="preserve">“</w:t>
      </w:r>
      <w:r>
        <w:t xml:space="preserve">Cross-backbone generalization remains the most important missing experiment.</w:t>
      </w:r>
      <w:r>
        <w:t xml:space="preserve">”</w:t>
      </w:r>
    </w:p>
    <w:p>
      <w:pPr>
        <w:pStyle w:val="FirstParagraph"/>
      </w:pPr>
      <w:r>
        <w:rPr>
          <w:bCs/>
          <w:b/>
        </w:rPr>
        <w:t xml:space="preserve">Response.</w:t>
      </w:r>
      <w:r>
        <w:t xml:space="preserve"> </w:t>
      </w:r>
      <w:r>
        <w:t xml:space="preserve">We withdraw the invalid 98/99-probe interaction bootstrap. An exploratory object-cluster Wald reanalysis detected no Holm-adjusted interaction across four metrics (adjusted</w:t>
      </w:r>
      <w:r>
        <w:t xml:space="preserve"> </w:t>
      </w:r>
      <m:oMath>
        <m:r>
          <m:t>p</m:t>
        </m:r>
        <m:r>
          <m:rPr>
            <m:sty m:val="p"/>
          </m:rPr>
          <m:t>=</m:t>
        </m:r>
        <m:r>
          <m:t>0.156</m:t>
        </m:r>
      </m:oMath>
      <w:r>
        <w:t xml:space="preserve">–</w:t>
      </w:r>
      <m:oMath>
        <m:r>
          <m:t>0.868</m:t>
        </m:r>
      </m:oMath>
      <w:r>
        <w:t xml:space="preserve">); non-detection is not equivalence. The 76-object MV-Adapter panel scales condition-guider features before UNet down-block residual injection. MVDiffusion instead interpolates CPBlock outputs; its depth condition is concatenated into the latent and left unscaled. Neither intervention reproduces the GeoTex per-ResNet residual correction. The MV-Adapter endpoint results are mixed, and each temporal contrast has only one of six unadjusted intervals excluding zero.</w:t>
      </w:r>
    </w:p>
    <w:p>
      <w:pPr>
        <w:pStyle w:val="BodyText"/>
      </w:pPr>
      <w:r>
        <w:t xml:space="preserve">Audit of 525 rows reproduced all 30 raw A−B contrasts (12 views generated; six scored). In P1 (L–LLH−G–FL), PSNR −0.453828, FG-SSIM −0.019393, and Edge-SSIM −0.005941 favor G–FL (higher is better); FG-LPIPS +0.002745 is not separated. CIEDE2000 +1.373021 (95% CI [+0.418244,+2.374678]) means worse color error under L–LLH; archived −1.373 was improvement-coded. GT-relative texture error −0.082286 means closer to recorded variation statistics, not greater fidelity. In P5, only FG-LPIPS excludes zero, favoring G–LLH. All intervals are pointwise and unadjusted. The compatibility-base panel was not rerun on the native mirror; its separate check covered one object. Table S12 gives all contrasts. These probes do not establish matched transfer.</w:t>
      </w:r>
    </w:p>
    <w:p>
      <w:pPr>
        <w:pStyle w:val="BodyText"/>
      </w:pPr>
      <w:r>
        <w:rPr>
          <w:bCs/>
          <w:b/>
        </w:rPr>
        <w:t xml:space="preserve">Location.</w:t>
      </w:r>
      <w:r>
        <w:t xml:space="preserve"> </w:t>
      </w:r>
      <w:r>
        <w:t xml:space="preserve">Main: Table 8 (pp. 13–14), Limitations (p. 15); Supplement S5 and Tables S10–S12 (pp. 6–11).</w:t>
      </w:r>
    </w:p>
    <w:bookmarkEnd w:id="28"/>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2026-10-10T06:04:37Z</dcterms:created>
  <dcterms:modified xsi:type="dcterms:W3CDTF">2026-10-10T06:04:37Z</dcterms:modified>
</cp:coreProperties>
</file>

<file path=docProps/custom.xml><?xml version="1.0" encoding="utf-8"?>
<Properties xmlns="http://schemas.openxmlformats.org/officeDocument/2006/custom-properties" xmlns:vt="http://schemas.openxmlformats.org/officeDocument/2006/docPropsVTypes"/>
</file>