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Editor,</w:t>
      </w:r>
    </w:p>
    <w:p>
      <w:pPr>
        <w:pStyle w:val="BodyText"/>
      </w:pPr>
      <w:r>
        <w:t xml:space="preserve">Please consider our revised manuscript,</w:t>
      </w:r>
      <w:r>
        <w:t xml:space="preserve"> </w:t>
      </w:r>
      <w:r>
        <w:rPr>
          <w:bCs/>
          <w:b/>
        </w:rPr>
        <w:t xml:space="preserve">Timestep-Conditioned Adapter Scaling for Multi-view Diffusion Texture Generation: A Controlled Empirical Study</w:t>
      </w:r>
      <w:r>
        <w:t xml:space="preserve">, for the Virtual Special Issue CAG_SS_CAD/Graphics 2026. This continues the same manuscript submitted on 7 September 2026; the title now states its empirical scope. A point-by-point response and a marked copy against that authenticated submission are provided.</w:t>
      </w:r>
    </w:p>
    <w:p>
      <w:pPr>
        <w:pStyle w:val="BodyText"/>
      </w:pPr>
      <w:r>
        <w:t xml:space="preserve">The paper addresses a practical graphics question: when does allocating geometry-control strength across denoising stages improve generated views and the appearance of the final textured mesh? The revision adds strong fixed/linear comparisons, matched applied-scale budgets, native conditioning-interface checks and actual exported-mesh evaluation. The 300-object GeoTex comparison changes the preferred image-space setting. A ten-object bake finds a small late-allocation benefit; a separate twenty-object GSO study does not detect the same benefit. Native MV-Adapter primaries do not establish a middle-window advantage. These limits and visible appearance failures remain in the paper.</w:t>
      </w:r>
    </w:p>
    <w:p>
      <w:pPr>
        <w:pStyle w:val="BodyText"/>
      </w:pPr>
      <w:r>
        <w:t xml:space="preserve">The closest prior work includes Shao et al.,</w:t>
      </w:r>
      <w:r>
        <w:t xml:space="preserve"> </w:t>
      </w:r>
      <w:r>
        <w:rPr>
          <w:iCs/>
          <w:i/>
        </w:rPr>
        <w:t xml:space="preserve">MVPainter</w:t>
      </w:r>
      <w:r>
        <w:t xml:space="preserve"> </w:t>
      </w:r>
      <w:r>
        <w:t xml:space="preserve">(arXiv:2505.12635, 2025); Huang et al.,</w:t>
      </w:r>
      <w:r>
        <w:t xml:space="preserve"> </w:t>
      </w:r>
      <w:r>
        <w:rPr>
          <w:iCs/>
          <w:i/>
        </w:rPr>
        <w:t xml:space="preserve">MV-Adapter</w:t>
      </w:r>
      <w:r>
        <w:t xml:space="preserve"> </w:t>
      </w:r>
      <w:r>
        <w:t xml:space="preserve">(ICCV, 2025); and Kulkarni,</w:t>
      </w:r>
      <w:r>
        <w:t xml:space="preserve"> </w:t>
      </w:r>
      <w:r>
        <w:rPr>
          <w:iCs/>
          <w:i/>
        </w:rPr>
        <w:t xml:space="preserve">Scheduled Style Injection</w:t>
      </w:r>
      <w:r>
        <w:t xml:space="preserve"> </w:t>
      </w:r>
      <w:r>
        <w:t xml:space="preserve">(CVPR Workshops/NTIRE, 2026). We acknowledge existing layer/time strength schedules. Our contribution is their controlled evaluation in this texturing task, including competitive controls, implemented scale accounting and downstream application limits; we do not claim a new general scheduling principle or universally optimal C3. Sadat et al.’s adaptive projected guidance (ICLR, 2025) is also included in the separate external comparison.</w:t>
      </w:r>
    </w:p>
    <w:p>
      <w:pPr>
        <w:pStyle w:val="BodyText"/>
      </w:pPr>
      <w:r>
        <w:t xml:space="preserve">CAI’s independent derivation and optimality claims have been removed. Historical results are distinguished from new checkpoints and protocols; the original +0.96 dB estimate is not called reproduced. The remaining historical FAC training-replay gap is disclosed. The materials provide reproducible object-level statistics, editable sources, attributed real outputs and playable mesh-comparison videos. The original CAD/Graphics conference submission is retained as a separate historical attachment.</w:t>
      </w:r>
    </w:p>
    <w:p>
      <w:pPr>
        <w:pStyle w:val="BodyText"/>
      </w:pPr>
      <w:r>
        <w:t xml:space="preserve">Thank you for considering the revised evidence and its application implications.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The Authors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2026-10-12T10:46:44Z</dcterms:created>
  <dcterms:modified xsi:type="dcterms:W3CDTF">2026-10-12T10:46:44Z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