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Matched budgets separate temporal allocation from increased control strength.</w:t>
      </w:r>
    </w:p>
    <w:p>
      <w:pPr>
        <w:numPr>
          <w:ilvl w:val="0"/>
          <w:numId w:val="1001"/>
        </w:numPr>
        <w:pStyle w:val="Compact"/>
      </w:pPr>
      <w:r>
        <w:t xml:space="preserve">Strong fixed and linear controls outperform the historical middle window.</w:t>
      </w:r>
    </w:p>
    <w:p>
      <w:pPr>
        <w:numPr>
          <w:ilvl w:val="0"/>
          <w:numId w:val="1001"/>
        </w:numPr>
        <w:pStyle w:val="Compact"/>
      </w:pPr>
      <w:r>
        <w:t xml:space="preserve">A small bake benefit is not detected in a separate twenty-object cohort.</w:t>
      </w:r>
    </w:p>
    <w:p>
      <w:pPr>
        <w:numPr>
          <w:ilvl w:val="0"/>
          <w:numId w:val="1001"/>
        </w:numPr>
        <w:pStyle w:val="Compact"/>
      </w:pPr>
      <w:r>
        <w:t xml:space="preserve">Native interface studies reveal endpoint and protocol limits.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2026-10-12T10:46:45Z</dcterms:created>
  <dcterms:modified xsi:type="dcterms:W3CDTF">2026-10-12T10:46:45Z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